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sz w:val="22"/>
          <w:szCs w:val="20"/>
          <w:highlight w:val="none"/>
        </w:rPr>
      </w:pPr>
      <w:r>
        <w:rPr>
          <w:rFonts w:ascii="宋体" w:hAnsi="宋体"/>
          <w:color w:val="auto"/>
          <w:sz w:val="22"/>
          <w:szCs w:val="20"/>
          <w:highlight w:val="none"/>
        </w:rPr>
      </w:r>
      <w:r/>
    </w:p>
    <w:p>
      <w:pPr>
        <w:jc w:val="right"/>
        <w:keepLines w:val="0"/>
        <w:keepNext w:val="0"/>
        <w:pageBreakBefore w:val="0"/>
        <w:spacing w:after="313"/>
        <w:widowControl w:val="off"/>
        <w:rPr>
          <w:rFonts w:hint="default" w:ascii="宋体" w:hAnsi="宋体"/>
          <w:b/>
          <w:bCs/>
          <w:color w:val="auto"/>
          <w:sz w:val="20"/>
          <w:szCs w:val="20"/>
          <w:highlight w:val="none"/>
          <w:lang w:val="en-US"/>
        </w:rPr>
      </w:pPr>
      <w:r>
        <w:rPr>
          <w:rFonts w:hint="eastAsia" w:ascii="宋体" w:hAnsi="宋体"/>
          <w:b/>
          <w:bCs/>
          <w:color w:val="auto"/>
          <w:sz w:val="20"/>
          <w:szCs w:val="20"/>
          <w:highlight w:val="none"/>
        </w:rPr>
        <w:t xml:space="preserve">编号：</w:t>
      </w:r>
      <w:r>
        <w:rPr>
          <w:rFonts w:hint="eastAsia" w:ascii="宋体" w:hAnsi="宋体"/>
          <w:b/>
          <w:bCs/>
          <w:color w:val="auto"/>
          <w:sz w:val="20"/>
          <w:szCs w:val="20"/>
          <w:highlight w:val="none"/>
          <w:lang w:eastAsia="zh-CN"/>
        </w:rPr>
        <w:t xml:space="preserve">JSZC-321081-BYGC-G2026-000</w:t>
      </w:r>
      <w:r>
        <w:rPr>
          <w:rFonts w:hint="eastAsia" w:ascii="宋体" w:hAnsi="宋体"/>
          <w:b/>
          <w:bCs/>
          <w:color w:val="auto"/>
          <w:sz w:val="20"/>
          <w:szCs w:val="20"/>
          <w:highlight w:val="none"/>
          <w:lang w:val="en-US" w:eastAsia="zh-CN"/>
        </w:rPr>
        <w:t xml:space="preserve">6</w:t>
      </w:r>
      <w:r/>
    </w:p>
    <w:p>
      <w:pPr>
        <w:jc w:val="center"/>
        <w:keepLines w:val="0"/>
        <w:keepNext w:val="0"/>
        <w:pageBreakBefore w:val="0"/>
        <w:spacing w:before="157" w:after="157"/>
        <w:widowControl w:val="off"/>
        <w:rPr>
          <w:rFonts w:hint="eastAsia" w:ascii="宋体" w:hAnsi="宋体" w:eastAsia="宋体" w:cs="Times New Roman"/>
          <w:b/>
          <w:bCs/>
          <w:color w:val="auto"/>
          <w:sz w:val="40"/>
          <w:szCs w:val="24"/>
          <w:highlight w:val="none"/>
          <w:lang w:eastAsia="zh-CN"/>
        </w:rPr>
      </w:pPr>
      <w:r>
        <w:rPr>
          <w:rFonts w:hint="eastAsia" w:ascii="宋体" w:hAnsi="宋体" w:cs="Times New Roman"/>
          <w:b/>
          <w:bCs/>
          <w:color w:val="auto"/>
          <w:sz w:val="40"/>
          <w:szCs w:val="24"/>
          <w:highlight w:val="none"/>
          <w:lang w:eastAsia="zh-CN"/>
        </w:rPr>
        <w:t xml:space="preserve"> 仪征市社会面监控十七期工程建设项目</w:t>
      </w:r>
      <w:r/>
    </w:p>
    <w:p>
      <w:pPr>
        <w:jc w:val="center"/>
        <w:rPr>
          <w:rFonts w:hint="eastAsia" w:ascii="宋体" w:hAnsi="宋体"/>
          <w:b/>
          <w:bCs/>
          <w:color w:val="auto"/>
          <w:sz w:val="40"/>
          <w:szCs w:val="24"/>
          <w:highlight w:val="none"/>
        </w:rPr>
      </w:pPr>
      <w:r>
        <w:rPr>
          <w:rFonts w:hint="eastAsia" w:ascii="宋体" w:hAnsi="宋体"/>
          <w:b/>
          <w:bCs/>
          <w:color w:val="auto"/>
          <w:sz w:val="40"/>
          <w:szCs w:val="24"/>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5562600" cy="4559935"/>
                <wp:effectExtent l="0" t="0" r="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562600" cy="455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8.0pt;height:359.0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eastAsia="宋体" w:cs="Times New Roman"/>
          <w:b/>
          <w:bCs/>
          <w:color w:val="auto"/>
          <w:sz w:val="36"/>
          <w:highlight w:val="none"/>
          <w:lang w:val="en-US" w:eastAsia="zh-CN"/>
        </w:rPr>
      </w:pPr>
      <w:r>
        <w:rPr>
          <w:rFonts w:hint="eastAsia" w:ascii="宋体" w:hAnsi="宋体" w:eastAsia="宋体" w:cs="Times New Roman"/>
          <w:b/>
          <w:bCs/>
          <w:color w:val="auto"/>
          <w:sz w:val="36"/>
          <w:highlight w:val="none"/>
          <w:lang w:val="en-US" w:eastAsia="zh-CN"/>
        </w:rPr>
      </w:r>
      <w:r/>
    </w:p>
    <w:p>
      <w:pPr>
        <w:jc w:val="center"/>
        <w:rPr>
          <w:rFonts w:ascii="宋体" w:hAnsi="宋体"/>
          <w:color w:val="auto"/>
          <w:sz w:val="22"/>
          <w:szCs w:val="16"/>
          <w:highlight w:val="none"/>
        </w:rPr>
      </w:pPr>
      <w:r>
        <w:rPr>
          <w:rFonts w:hint="eastAsia" w:ascii="宋体" w:hAnsi="宋体" w:eastAsia="宋体" w:cs="Times New Roman"/>
          <w:b/>
          <w:bCs/>
          <w:color w:val="auto"/>
          <w:sz w:val="36"/>
          <w:highlight w:val="none"/>
          <w:lang w:val="en-US" w:eastAsia="zh-CN"/>
        </w:rPr>
        <w:t xml:space="preserve">招标</w:t>
      </w:r>
      <w:r>
        <w:rPr>
          <w:rFonts w:hint="eastAsia" w:ascii="宋体" w:hAnsi="宋体" w:cs="Times New Roman"/>
          <w:b/>
          <w:bCs/>
          <w:color w:val="auto"/>
          <w:sz w:val="36"/>
          <w:highlight w:val="none"/>
          <w:lang w:val="en-US" w:eastAsia="zh-CN"/>
        </w:rPr>
        <w:t xml:space="preserve">单位</w:t>
      </w:r>
      <w:r>
        <w:rPr>
          <w:rFonts w:hint="eastAsia" w:ascii="宋体" w:hAnsi="宋体" w:eastAsia="宋体" w:cs="Times New Roman"/>
          <w:b/>
          <w:bCs/>
          <w:color w:val="auto"/>
          <w:sz w:val="36"/>
          <w:highlight w:val="none"/>
          <w:lang w:val="en-US" w:eastAsia="zh-CN"/>
        </w:rPr>
        <w:t xml:space="preserve">：</w:t>
      </w:r>
      <w:r>
        <w:rPr>
          <w:rFonts w:hint="eastAsia" w:ascii="宋体" w:hAnsi="宋体" w:cs="Times New Roman"/>
          <w:b/>
          <w:bCs/>
          <w:color w:val="auto"/>
          <w:sz w:val="36"/>
          <w:highlight w:val="none"/>
          <w:lang w:eastAsia="zh-CN"/>
        </w:rPr>
        <w:t xml:space="preserve">仪征市公安局</w:t>
      </w:r>
      <w:r/>
    </w:p>
    <w:p>
      <w:pPr>
        <w:jc w:val="center"/>
        <w:rPr>
          <w:rFonts w:hint="eastAsia" w:ascii="宋体" w:hAnsi="宋体" w:eastAsia="宋体"/>
          <w:b/>
          <w:bCs/>
          <w:color w:val="auto"/>
          <w:sz w:val="36"/>
          <w:highlight w:val="none"/>
          <w:lang w:eastAsia="zh-CN"/>
        </w:rPr>
      </w:pPr>
      <w:r>
        <w:rPr>
          <w:rFonts w:hint="eastAsia" w:ascii="宋体" w:hAnsi="宋体"/>
          <w:b/>
          <w:bCs/>
          <w:color w:val="auto"/>
          <w:sz w:val="36"/>
          <w:highlight w:val="none"/>
          <w:lang w:val="en-US" w:eastAsia="zh-CN"/>
        </w:rPr>
        <w:t xml:space="preserve">代理机构：</w:t>
      </w:r>
      <w:r>
        <w:rPr>
          <w:rFonts w:hint="eastAsia" w:ascii="宋体" w:hAnsi="宋体"/>
          <w:b/>
          <w:bCs/>
          <w:color w:val="auto"/>
          <w:sz w:val="36"/>
          <w:highlight w:val="none"/>
          <w:lang w:eastAsia="zh-CN"/>
        </w:rPr>
        <w:t xml:space="preserve">扬州博远工程咨询有限公司</w:t>
      </w:r>
      <w:r/>
    </w:p>
    <w:p>
      <w:pPr>
        <w:jc w:val="center"/>
        <w:rPr>
          <w:rFonts w:hint="eastAsia" w:ascii="宋体" w:hAnsi="宋体"/>
          <w:b/>
          <w:bCs/>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06</w:t>
      </w:r>
      <w:r>
        <w:rPr>
          <w:rFonts w:hint="eastAsia" w:ascii="宋体" w:hAnsi="宋体"/>
          <w:b/>
          <w:bCs/>
          <w:color w:val="auto"/>
          <w:sz w:val="36"/>
          <w:highlight w:val="none"/>
        </w:rPr>
        <w:t xml:space="preserve">月</w:t>
      </w:r>
      <w:r/>
    </w:p>
    <w:p>
      <w:pPr>
        <w:jc w:val="center"/>
        <w:rPr>
          <w:rFonts w:hint="eastAsia" w:ascii="宋体" w:hAnsi="宋体"/>
          <w:b/>
          <w:bCs/>
          <w:color w:val="auto"/>
          <w:sz w:val="36"/>
          <w:szCs w:val="36"/>
          <w:highlight w:val="none"/>
        </w:rPr>
      </w:pPr>
      <w:r>
        <w:rPr>
          <w:rFonts w:hint="eastAsia" w:ascii="宋体" w:hAnsi="宋体"/>
          <w:b/>
          <w:bCs/>
          <w:color w:val="auto"/>
          <w:sz w:val="36"/>
          <w:highlight w:val="none"/>
        </w:rPr>
      </w:r>
      <w:r>
        <w:rPr>
          <w:rFonts w:hint="eastAsia" w:ascii="宋体" w:hAnsi="宋体"/>
          <w:b/>
          <w:bCs/>
          <w:color w:val="auto"/>
          <w:sz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rFonts w:hint="eastAsia" w:ascii="宋体" w:hAnsi="宋体"/>
          <w:b/>
          <w:bCs/>
          <w:color w:val="auto"/>
          <w:sz w:val="36"/>
          <w:szCs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rFonts w:hint="eastAsia" w:ascii="宋体" w:hAnsi="宋体"/>
          <w:b/>
          <w:bCs/>
          <w:color w:val="auto"/>
          <w:sz w:val="36"/>
          <w:szCs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rFonts w:hint="eastAsia" w:ascii="宋体" w:hAnsi="宋体"/>
          <w:b/>
          <w:bCs/>
          <w:color w:val="auto"/>
          <w:sz w:val="36"/>
          <w:szCs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884"/>
        <w:rPr>
          <w:rFonts w:hint="eastAsia"/>
          <w:color w:val="auto"/>
          <w:highlight w:val="none"/>
        </w:rPr>
      </w:pPr>
      <w:r>
        <w:rPr>
          <w:rFonts w:hint="eastAsia"/>
          <w:color w:val="auto"/>
          <w:highlight w:val="none"/>
        </w:rPr>
      </w:r>
      <w:r/>
    </w:p>
    <w:p>
      <w:pPr>
        <w:pStyle w:val="892"/>
        <w:tabs>
          <w:tab w:val="right" w:pos="8306" w:leader="dot"/>
        </w:tabs>
        <w:rPr>
          <w:color w:val="auto"/>
          <w:sz w:val="28"/>
          <w:szCs w:val="32"/>
          <w:highlight w:val="none"/>
        </w:rPr>
      </w:pPr>
      <w:r>
        <w:rPr>
          <w:rFonts w:ascii="宋体" w:hAnsi="宋体"/>
          <w:color w:val="auto"/>
          <w:sz w:val="40"/>
          <w:szCs w:val="32"/>
          <w:highlight w:val="none"/>
        </w:rPr>
        <w:fldChar w:fldCharType="begin"/>
      </w:r>
      <w:r>
        <w:rPr>
          <w:rFonts w:ascii="宋体" w:hAnsi="宋体"/>
          <w:color w:val="auto"/>
          <w:sz w:val="40"/>
          <w:szCs w:val="32"/>
          <w:highlight w:val="none"/>
        </w:rPr>
        <w:instrText xml:space="preserve">TOC \o "1-3" \h \u </w:instrText>
      </w:r>
      <w:r>
        <w:rPr>
          <w:rFonts w:ascii="宋体" w:hAnsi="宋体"/>
          <w:color w:val="auto"/>
          <w:sz w:val="40"/>
          <w:szCs w:val="32"/>
          <w:highlight w:val="none"/>
        </w:rPr>
        <w:fldChar w:fldCharType="separate"/>
      </w: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_Toc21730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第一章</w:t>
      </w:r>
      <w:r>
        <w:rPr>
          <w:rFonts w:ascii="宋体" w:hAnsi="宋体"/>
          <w:color w:val="auto"/>
          <w:sz w:val="28"/>
          <w:szCs w:val="32"/>
          <w:highlight w:val="none"/>
        </w:rPr>
        <w:t xml:space="preserve"> 招标公告</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_Toc21730 </w:instrText>
      </w:r>
      <w:r>
        <w:rPr>
          <w:color w:val="auto"/>
          <w:sz w:val="28"/>
          <w:szCs w:val="32"/>
          <w:highlight w:val="none"/>
        </w:rPr>
        <w:fldChar w:fldCharType="separate"/>
      </w:r>
      <w:r>
        <w:rPr>
          <w:color w:val="auto"/>
          <w:sz w:val="28"/>
          <w:szCs w:val="32"/>
          <w:highlight w:val="none"/>
        </w:rPr>
        <w:t xml:space="preserve">3</w:t>
      </w:r>
      <w:r>
        <w:rPr>
          <w:color w:val="auto"/>
          <w:sz w:val="28"/>
          <w:szCs w:val="32"/>
          <w:highlight w:val="none"/>
        </w:rPr>
        <w:fldChar w:fldCharType="end"/>
      </w:r>
      <w:r>
        <w:rPr>
          <w:rFonts w:ascii="宋体" w:hAnsi="宋体"/>
          <w:color w:val="auto"/>
          <w:sz w:val="28"/>
          <w:szCs w:val="32"/>
          <w:highlight w:val="none"/>
        </w:rPr>
        <w:fldChar w:fldCharType="end"/>
      </w:r>
      <w:r/>
    </w:p>
    <w:p>
      <w:pPr>
        <w:pStyle w:val="892"/>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_Toc9071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第二章 投标人须知</w:t>
      </w:r>
      <w:r>
        <w:rPr>
          <w:color w:val="auto"/>
          <w:sz w:val="28"/>
          <w:szCs w:val="32"/>
          <w:highlight w:val="none"/>
        </w:rPr>
        <w:tab/>
      </w:r>
      <w:r>
        <w:rPr>
          <w:rFonts w:hint="eastAsia"/>
          <w:color w:val="auto"/>
          <w:sz w:val="28"/>
          <w:szCs w:val="32"/>
          <w:highlight w:val="none"/>
          <w:lang w:val="en-US" w:eastAsia="zh-CN"/>
        </w:rPr>
        <w:t xml:space="preserve">7</w:t>
      </w:r>
      <w:r>
        <w:rPr>
          <w:rFonts w:ascii="宋体" w:hAnsi="宋体"/>
          <w:color w:val="auto"/>
          <w:sz w:val="28"/>
          <w:szCs w:val="32"/>
          <w:highlight w:val="none"/>
        </w:rPr>
        <w:fldChar w:fldCharType="end"/>
      </w:r>
      <w:r/>
    </w:p>
    <w:p>
      <w:pPr>
        <w:pStyle w:val="892"/>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_Toc22415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第三章 合同条款及格式</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_Toc22415 </w:instrText>
      </w:r>
      <w:r>
        <w:rPr>
          <w:color w:val="auto"/>
          <w:sz w:val="28"/>
          <w:szCs w:val="32"/>
          <w:highlight w:val="none"/>
        </w:rPr>
        <w:fldChar w:fldCharType="separate"/>
      </w:r>
      <w:r>
        <w:rPr>
          <w:color w:val="auto"/>
          <w:sz w:val="28"/>
          <w:szCs w:val="32"/>
          <w:highlight w:val="none"/>
        </w:rPr>
        <w:t xml:space="preserve">18</w:t>
      </w:r>
      <w:r>
        <w:rPr>
          <w:color w:val="auto"/>
          <w:sz w:val="28"/>
          <w:szCs w:val="32"/>
          <w:highlight w:val="none"/>
        </w:rPr>
        <w:fldChar w:fldCharType="end"/>
      </w:r>
      <w:r>
        <w:rPr>
          <w:rFonts w:ascii="宋体" w:hAnsi="宋体"/>
          <w:color w:val="auto"/>
          <w:sz w:val="28"/>
          <w:szCs w:val="32"/>
          <w:highlight w:val="none"/>
        </w:rPr>
        <w:fldChar w:fldCharType="end"/>
      </w:r>
      <w:r/>
    </w:p>
    <w:p>
      <w:pPr>
        <w:pStyle w:val="892"/>
        <w:tabs>
          <w:tab w:val="right" w:pos="8306" w:leader="dot"/>
        </w:tabs>
        <w:rPr>
          <w:rFonts w:hint="eastAsia" w:eastAsia="宋体"/>
          <w:color w:val="auto"/>
          <w:sz w:val="28"/>
          <w:szCs w:val="32"/>
          <w:highlight w:val="none"/>
          <w:lang w:val="en-US" w:eastAsia="zh-CN"/>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_Toc32147 </w:instrText>
      </w:r>
      <w:r>
        <w:rPr>
          <w:rFonts w:ascii="宋体" w:hAnsi="宋体"/>
          <w:color w:val="auto"/>
          <w:sz w:val="28"/>
          <w:szCs w:val="32"/>
          <w:highlight w:val="none"/>
        </w:rPr>
        <w:fldChar w:fldCharType="separate"/>
      </w:r>
      <w:r>
        <w:rPr>
          <w:rFonts w:hint="eastAsia" w:ascii="宋体" w:hAnsi="宋体"/>
          <w:bCs/>
          <w:color w:val="auto"/>
          <w:sz w:val="28"/>
          <w:szCs w:val="32"/>
          <w:highlight w:val="none"/>
        </w:rPr>
        <w:t xml:space="preserve">第四章 项目需求</w:t>
      </w:r>
      <w:r>
        <w:rPr>
          <w:color w:val="auto"/>
          <w:sz w:val="28"/>
          <w:szCs w:val="32"/>
          <w:highlight w:val="none"/>
        </w:rPr>
        <w:tab/>
      </w:r>
      <w:r>
        <w:rPr>
          <w:rFonts w:hint="eastAsia"/>
          <w:color w:val="auto"/>
          <w:sz w:val="28"/>
          <w:szCs w:val="32"/>
          <w:highlight w:val="none"/>
          <w:lang w:val="en-US" w:eastAsia="zh-CN"/>
        </w:rPr>
        <w:t xml:space="preserve">2</w:t>
      </w:r>
      <w:r>
        <w:rPr>
          <w:rFonts w:ascii="宋体" w:hAnsi="宋体"/>
          <w:color w:val="auto"/>
          <w:sz w:val="28"/>
          <w:szCs w:val="32"/>
          <w:highlight w:val="none"/>
        </w:rPr>
        <w:fldChar w:fldCharType="end"/>
      </w:r>
      <w:r>
        <w:rPr>
          <w:rFonts w:hint="default" w:ascii="Times New Roman" w:hAnsi="Times New Roman" w:cs="Times New Roman"/>
          <w:color w:val="auto"/>
          <w:sz w:val="28"/>
          <w:szCs w:val="32"/>
          <w:highlight w:val="none"/>
          <w:lang w:val="en-US" w:eastAsia="zh-CN"/>
        </w:rPr>
        <w:t xml:space="preserve">3</w:t>
      </w:r>
      <w:r/>
    </w:p>
    <w:p>
      <w:pPr>
        <w:pStyle w:val="892"/>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_Toc12363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第五章 评标方法及评标标准</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_Toc12363 </w:instrText>
      </w:r>
      <w:r>
        <w:rPr>
          <w:color w:val="auto"/>
          <w:sz w:val="28"/>
          <w:szCs w:val="32"/>
          <w:highlight w:val="none"/>
        </w:rPr>
        <w:fldChar w:fldCharType="separate"/>
      </w:r>
      <w:r>
        <w:rPr>
          <w:color w:val="auto"/>
          <w:sz w:val="28"/>
          <w:szCs w:val="32"/>
          <w:highlight w:val="none"/>
        </w:rPr>
        <w:t xml:space="preserve">72</w:t>
      </w:r>
      <w:r>
        <w:rPr>
          <w:color w:val="auto"/>
          <w:sz w:val="28"/>
          <w:szCs w:val="32"/>
          <w:highlight w:val="none"/>
        </w:rPr>
        <w:fldChar w:fldCharType="end"/>
      </w:r>
      <w:r>
        <w:rPr>
          <w:rFonts w:ascii="宋体" w:hAnsi="宋体"/>
          <w:color w:val="auto"/>
          <w:sz w:val="28"/>
          <w:szCs w:val="32"/>
          <w:highlight w:val="none"/>
        </w:rPr>
        <w:fldChar w:fldCharType="end"/>
      </w:r>
      <w:r/>
    </w:p>
    <w:p>
      <w:pPr>
        <w:pStyle w:val="892"/>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_Toc9577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第六章 投标文件格式</w:t>
      </w:r>
      <w:r>
        <w:rPr>
          <w:color w:val="auto"/>
          <w:sz w:val="28"/>
          <w:szCs w:val="32"/>
          <w:highlight w:val="none"/>
        </w:rPr>
        <w:tab/>
      </w:r>
      <w:r>
        <w:rPr>
          <w:rFonts w:hint="eastAsia"/>
          <w:color w:val="auto"/>
          <w:sz w:val="28"/>
          <w:szCs w:val="32"/>
          <w:highlight w:val="none"/>
          <w:lang w:val="en-US" w:eastAsia="zh-CN"/>
        </w:rPr>
        <w:t xml:space="preserve">79</w:t>
      </w:r>
      <w:r>
        <w:rPr>
          <w:rFonts w:ascii="宋体" w:hAnsi="宋体"/>
          <w:color w:val="auto"/>
          <w:sz w:val="28"/>
          <w:szCs w:val="32"/>
          <w:highlight w:val="none"/>
        </w:rPr>
        <w:fldChar w:fldCharType="end"/>
      </w:r>
      <w:r/>
    </w:p>
    <w:p>
      <w:pPr>
        <w:pStyle w:val="892"/>
        <w:tabs>
          <w:tab w:val="right" w:pos="8306" w:leader="dot"/>
        </w:tabs>
        <w:rPr>
          <w:rFonts w:ascii="宋体" w:hAnsi="宋体"/>
          <w:color w:val="auto"/>
          <w:sz w:val="28"/>
          <w:highlight w:val="none"/>
        </w:rPr>
      </w:pPr>
      <w:r>
        <w:rPr>
          <w:rFonts w:ascii="宋体" w:hAnsi="宋体"/>
          <w:color w:val="auto"/>
          <w:sz w:val="28"/>
          <w:szCs w:val="32"/>
          <w:highlight w:val="none"/>
        </w:rPr>
        <w:fldChar w:fldCharType="end"/>
      </w:r>
      <w:r/>
    </w:p>
    <w:p>
      <w:pPr>
        <w:pStyle w:val="892"/>
        <w:tabs>
          <w:tab w:val="right" w:pos="8306" w:leader="dot"/>
        </w:tabs>
        <w:rPr>
          <w:rFonts w:ascii="宋体" w:hAnsi="宋体"/>
          <w:color w:val="auto"/>
          <w:sz w:val="28"/>
          <w:highlight w:val="none"/>
        </w:rPr>
      </w:pPr>
      <w:r>
        <w:rPr>
          <w:rFonts w:ascii="宋体" w:hAnsi="宋体"/>
          <w:color w:val="auto"/>
          <w:sz w:val="28"/>
          <w:highlight w:val="none"/>
        </w:rPr>
      </w:r>
      <w:r/>
    </w:p>
    <w:p>
      <w:pPr>
        <w:pStyle w:val="892"/>
        <w:tabs>
          <w:tab w:val="right" w:pos="8306" w:leader="dot"/>
        </w:tabs>
        <w:rPr>
          <w:rFonts w:ascii="宋体" w:hAnsi="宋体"/>
          <w:color w:val="auto"/>
          <w:sz w:val="28"/>
          <w:highlight w:val="none"/>
        </w:rPr>
      </w:pPr>
      <w:r>
        <w:rPr>
          <w:rFonts w:ascii="宋体" w:hAnsi="宋体"/>
          <w:color w:val="auto"/>
          <w:sz w:val="28"/>
          <w:highlight w:val="none"/>
        </w:rPr>
      </w:r>
      <w:r/>
    </w:p>
    <w:p>
      <w:pPr>
        <w:pStyle w:val="892"/>
        <w:tabs>
          <w:tab w:val="right" w:pos="8306" w:leader="dot"/>
        </w:tabs>
        <w:rPr>
          <w:rFonts w:ascii="宋体" w:hAnsi="宋体"/>
          <w:color w:val="auto"/>
          <w:sz w:val="28"/>
          <w:highlight w:val="none"/>
        </w:rPr>
      </w:pPr>
      <w:r>
        <w:rPr>
          <w:rFonts w:ascii="宋体" w:hAnsi="宋体"/>
          <w:color w:val="auto"/>
          <w:sz w:val="28"/>
          <w:highlight w:val="none"/>
        </w:rPr>
      </w:r>
      <w:r/>
    </w:p>
    <w:p>
      <w:pPr>
        <w:pStyle w:val="892"/>
        <w:tabs>
          <w:tab w:val="right" w:pos="8306" w:leader="dot"/>
        </w:tabs>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28"/>
          <w:highlight w:val="none"/>
        </w:rPr>
      </w:r>
      <w:r/>
    </w:p>
    <w:p>
      <w:pPr>
        <w:numPr>
          <w:ilvl w:val="0"/>
          <w:numId w:val="0"/>
        </w:numPr>
        <w:jc w:val="center"/>
        <w:rPr>
          <w:rStyle w:val="900"/>
          <w:rFonts w:hint="eastAsia" w:ascii="Times New Roman" w:hAnsi="Times New Roman" w:eastAsia="宋体" w:cs="Times New Roman"/>
          <w:color w:val="auto"/>
          <w:sz w:val="36"/>
          <w:szCs w:val="36"/>
          <w:highlight w:val="none"/>
          <w:lang w:val="en-US" w:eastAsia="zh-CN"/>
        </w:rPr>
      </w:pPr>
      <w:r/>
      <w:bookmarkStart w:id="0" w:name="_Toc21730"/>
      <w:r/>
      <w:bookmarkStart w:id="1" w:name="_Toc512692547"/>
      <w:r/>
      <w:bookmarkStart w:id="2" w:name="_Toc534644770"/>
      <w:r/>
      <w:bookmarkStart w:id="3" w:name="_Toc976"/>
      <w:r>
        <w:rPr>
          <w:rStyle w:val="900"/>
          <w:rFonts w:hint="eastAsia" w:ascii="Times New Roman" w:hAnsi="Times New Roman" w:eastAsia="宋体" w:cs="Times New Roman"/>
          <w:color w:val="auto"/>
          <w:sz w:val="36"/>
          <w:szCs w:val="36"/>
          <w:highlight w:val="none"/>
          <w:lang w:val="en-US" w:eastAsia="zh-CN"/>
        </w:rPr>
        <w:t xml:space="preserve">第一章  招标公告</w:t>
      </w:r>
      <w:bookmarkEnd w:id="0"/>
      <w:r/>
      <w:bookmarkEnd w:id="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受仪征市公安局的委托，扬州博远工程咨询有限公司就</w:t>
      </w:r>
      <w:r>
        <w:rPr>
          <w:rFonts w:hint="eastAsia" w:ascii="宋体" w:hAnsi="宋体" w:cs="宋体"/>
          <w:color w:val="auto"/>
          <w:szCs w:val="21"/>
          <w:highlight w:val="none"/>
          <w:lang w:eastAsia="zh-CN"/>
        </w:rPr>
        <w:t xml:space="preserve">仪征市社会面监控十七期工程建设项目</w:t>
      </w:r>
      <w:r>
        <w:rPr>
          <w:rFonts w:hint="eastAsia" w:ascii="宋体" w:hAnsi="宋体" w:cs="宋体"/>
          <w:color w:val="auto"/>
          <w:szCs w:val="21"/>
          <w:highlight w:val="none"/>
        </w:rPr>
        <w:t xml:space="preserve">(项目编号：JSZC-321081-BYGC-G2026-000</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)进行公开招标采购，欢迎符合条件的供应商投标。</w:t>
      </w:r>
      <w:r/>
    </w:p>
    <w:p>
      <w:pPr>
        <w:ind w:firstLine="420"/>
        <w:rPr>
          <w:rFonts w:ascii="宋体" w:hAnsi="宋体" w:cs="宋体"/>
          <w:color w:val="auto"/>
          <w:szCs w:val="21"/>
          <w:highlight w:val="none"/>
          <w:u w:val="single"/>
          <w:lang w:bidi="ar"/>
        </w:rPr>
        <w:pBdr>
          <w:top w:val="single" w:color="auto" w:sz="4" w:space="1"/>
          <w:left w:val="single" w:color="auto" w:sz="4" w:space="4"/>
          <w:bottom w:val="single" w:color="auto" w:sz="4" w:space="1"/>
          <w:right w:val="single" w:color="auto" w:sz="4" w:space="4"/>
        </w:pBdr>
      </w:pPr>
      <w:r/>
      <w:bookmarkStart w:id="4" w:name="_Toc28359089"/>
      <w:r/>
      <w:bookmarkStart w:id="5" w:name="_Toc35393629"/>
      <w:r/>
      <w:bookmarkStart w:id="6" w:name="_Toc35393798"/>
      <w:r/>
      <w:bookmarkStart w:id="7" w:name="_Toc28359012"/>
      <w:r/>
      <w:bookmarkStart w:id="8" w:name="_Toc512692548"/>
      <w:r>
        <w:rPr>
          <w:rFonts w:hint="eastAsia" w:ascii="宋体" w:hAnsi="宋体" w:cs="宋体"/>
          <w:color w:val="auto"/>
          <w:szCs w:val="21"/>
          <w:highlight w:val="none"/>
          <w:lang w:bidi="ar"/>
        </w:rPr>
        <w:t xml:space="preserve">项目概况：</w:t>
      </w:r>
      <w:r/>
    </w:p>
    <w:p>
      <w:pPr>
        <w:ind w:firstLine="420"/>
        <w:jc w:val="left"/>
        <w:spacing w:before="92" w:after="150" w:line="360" w:lineRule="auto"/>
        <w:widowControl/>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bidi="ar"/>
        </w:rPr>
        <w:t xml:space="preserve">仪征市社会面监控十七期工程建设项目</w:t>
      </w:r>
      <w:r>
        <w:rPr>
          <w:rFonts w:hint="eastAsia" w:ascii="宋体" w:hAnsi="宋体" w:cs="宋体"/>
          <w:color w:val="auto"/>
          <w:szCs w:val="21"/>
          <w:highlight w:val="none"/>
          <w:lang w:bidi="ar"/>
        </w:rPr>
        <w:t xml:space="preserve">的潜在投标人可在</w:t>
      </w:r>
      <w:r>
        <w:rPr>
          <w:rFonts w:hint="eastAsia" w:ascii="宋体" w:hAnsi="宋体" w:cs="宋体"/>
          <w:color w:val="auto"/>
          <w:szCs w:val="21"/>
          <w:highlight w:val="none"/>
          <w:u w:val="single"/>
        </w:rPr>
        <w:t xml:space="preserve">“仪征市政府采购网”、“扬州市政府采购网”、“</w:t>
      </w:r>
      <w:r>
        <w:rPr>
          <w:rFonts w:hint="eastAsia" w:ascii="宋体" w:hAnsi="宋体" w:cs="宋体"/>
          <w:color w:val="auto"/>
          <w:szCs w:val="21"/>
          <w:highlight w:val="none"/>
          <w:u w:val="single"/>
          <w:lang w:eastAsia="zh-CN"/>
        </w:rPr>
        <w:t xml:space="preserve">江苏政府采购网</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中国政府采购网</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自行免费下载</w:t>
      </w:r>
      <w:r>
        <w:rPr>
          <w:rFonts w:hint="eastAsia" w:ascii="宋体" w:hAnsi="宋体" w:cs="宋体"/>
          <w:color w:val="auto"/>
          <w:highlight w:val="none"/>
        </w:rPr>
        <w:t xml:space="preserve">招标文件</w:t>
      </w:r>
      <w:r>
        <w:rPr>
          <w:rFonts w:hint="eastAsia" w:ascii="宋体" w:hAnsi="宋体" w:cs="宋体"/>
          <w:color w:val="auto"/>
          <w:szCs w:val="21"/>
          <w:highlight w:val="none"/>
        </w:rPr>
        <w:t xml:space="preserve">，并于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06月30 日</w:t>
      </w:r>
      <w:r>
        <w:rPr>
          <w:rFonts w:hint="eastAsia" w:ascii="宋体" w:hAnsi="宋体" w:cs="宋体"/>
          <w:color w:val="auto"/>
          <w:szCs w:val="21"/>
          <w:highlight w:val="none"/>
          <w:u w:val="single"/>
        </w:rPr>
        <w:t xml:space="preserve"> 09点</w:t>
      </w:r>
      <w:r>
        <w:rPr>
          <w:rFonts w:hint="eastAsia" w:ascii="宋体" w:hAnsi="宋体" w:cs="宋体"/>
          <w:color w:val="auto"/>
          <w:szCs w:val="21"/>
          <w:highlight w:val="none"/>
          <w:u w:val="single"/>
          <w:lang w:val="en-US" w:eastAsia="zh-CN"/>
        </w:rPr>
        <w:t xml:space="preserve">00</w:t>
      </w:r>
      <w:r>
        <w:rPr>
          <w:rFonts w:hint="eastAsia" w:ascii="宋体" w:hAnsi="宋体" w:cs="宋体"/>
          <w:color w:val="auto"/>
          <w:szCs w:val="21"/>
          <w:highlight w:val="none"/>
          <w:u w:val="single"/>
        </w:rPr>
        <w:t xml:space="preserve">分</w:t>
      </w:r>
      <w:r>
        <w:rPr>
          <w:rFonts w:hint="eastAsia" w:ascii="宋体" w:hAnsi="宋体" w:cs="宋体"/>
          <w:bCs/>
          <w:color w:val="auto"/>
          <w:szCs w:val="21"/>
          <w:highlight w:val="none"/>
        </w:rPr>
        <w:t xml:space="preserve">（北京时间）前递交</w:t>
      </w:r>
      <w:r>
        <w:rPr>
          <w:rFonts w:hint="eastAsia" w:ascii="宋体" w:hAnsi="宋体" w:cs="宋体"/>
          <w:bCs/>
          <w:color w:val="auto"/>
          <w:highlight w:val="none"/>
        </w:rPr>
        <w:t xml:space="preserve">投标文件</w:t>
      </w:r>
      <w:r>
        <w:rPr>
          <w:rFonts w:hint="eastAsia" w:ascii="宋体" w:hAnsi="宋体" w:cs="宋体"/>
          <w:color w:val="auto"/>
          <w:szCs w:val="21"/>
          <w:highlight w:val="none"/>
        </w:rPr>
        <w:t xml:space="preserve">。</w:t>
      </w:r>
      <w:bookmarkEnd w:id="4"/>
      <w:r/>
      <w:bookmarkEnd w:id="5"/>
      <w:r/>
      <w:bookmarkEnd w:id="6"/>
      <w:r/>
      <w:bookmarkEnd w:id="7"/>
      <w:r/>
      <w:r/>
    </w:p>
    <w:p>
      <w:pPr>
        <w:pStyle w:val="874"/>
        <w:spacing w:before="0" w:after="0"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360" w:lineRule="auto"/>
        <w:widowControl w:val="off"/>
        <w:rPr>
          <w:rFonts w:hint="default" w:ascii="宋体" w:hAnsi="宋体"/>
          <w:color w:val="auto"/>
          <w:highlight w:val="none"/>
          <w:lang w:val="en-US"/>
        </w:rPr>
      </w:pPr>
      <w:r>
        <w:rPr>
          <w:rFonts w:hint="eastAsia" w:ascii="宋体" w:hAnsi="宋体"/>
          <w:color w:val="auto"/>
          <w:highlight w:val="none"/>
        </w:rPr>
        <w:t xml:space="preserve">1.项目编号：</w:t>
      </w:r>
      <w:r>
        <w:rPr>
          <w:rFonts w:hint="eastAsia" w:ascii="宋体" w:hAnsi="宋体"/>
          <w:color w:val="auto"/>
          <w:highlight w:val="none"/>
          <w:lang w:eastAsia="zh-CN"/>
        </w:rPr>
        <w:t xml:space="preserve">JSZC-321081-BYGC-G2026-000</w:t>
      </w:r>
      <w:r>
        <w:rPr>
          <w:rFonts w:hint="eastAsia" w:ascii="宋体" w:hAnsi="宋体"/>
          <w:color w:val="auto"/>
          <w:highlight w:val="none"/>
          <w:lang w:val="en-US" w:eastAsia="zh-CN"/>
        </w:rPr>
        <w:t xml:space="preserve">6</w:t>
      </w:r>
      <w:r/>
    </w:p>
    <w:p>
      <w:pPr>
        <w:ind w:firstLine="420"/>
        <w:pageBreakBefore w:val="0"/>
        <w:spacing w:line="360" w:lineRule="auto"/>
        <w:widowControl w:val="off"/>
        <w:rPr>
          <w:rFonts w:hint="eastAsia" w:ascii="宋体" w:hAnsi="宋体" w:eastAsia="宋体"/>
          <w:color w:val="auto"/>
          <w:highlight w:val="none"/>
          <w:u w:val="single"/>
          <w:lang w:eastAsia="zh-CN"/>
        </w:rPr>
      </w:pPr>
      <w:r>
        <w:rPr>
          <w:rFonts w:hint="eastAsia" w:ascii="宋体" w:hAnsi="宋体"/>
          <w:color w:val="auto"/>
          <w:highlight w:val="none"/>
        </w:rPr>
        <w:t xml:space="preserve">2.项目名称：</w:t>
      </w:r>
      <w:r>
        <w:rPr>
          <w:rFonts w:hint="eastAsia" w:ascii="宋体" w:hAnsi="宋体"/>
          <w:color w:val="auto"/>
          <w:szCs w:val="21"/>
          <w:highlight w:val="none"/>
          <w:lang w:eastAsia="zh-CN"/>
        </w:rPr>
        <w:t xml:space="preserve">仪征市社会面监控十七期工程建设项目</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3.采购方式：公开招标</w:t>
      </w:r>
      <w:r/>
    </w:p>
    <w:p>
      <w:pPr>
        <w:ind w:firstLine="420"/>
        <w:spacing w:line="360" w:lineRule="auto"/>
        <w:rPr>
          <w:rFonts w:ascii="宋体" w:hAnsi="宋体"/>
          <w:color w:val="auto"/>
          <w:highlight w:val="none"/>
        </w:rPr>
      </w:pPr>
      <w:r>
        <w:rPr>
          <w:rFonts w:hint="eastAsia" w:ascii="宋体" w:hAnsi="宋体"/>
          <w:color w:val="auto"/>
          <w:highlight w:val="none"/>
        </w:rPr>
        <w:t xml:space="preserve">4.预算金额：</w:t>
      </w:r>
      <w:r>
        <w:rPr>
          <w:rFonts w:hint="eastAsia" w:ascii="宋体" w:hAnsi="宋体"/>
          <w:color w:val="auto"/>
          <w:highlight w:val="none"/>
          <w:lang w:val="en-US" w:eastAsia="zh-CN"/>
        </w:rPr>
        <w:t xml:space="preserve">786</w:t>
      </w:r>
      <w:r>
        <w:rPr>
          <w:rFonts w:hint="eastAsia" w:ascii="宋体" w:hAnsi="宋体" w:eastAsia="宋体" w:cs="宋体"/>
          <w:color w:val="auto"/>
          <w:highlight w:val="none"/>
        </w:rPr>
        <w:t xml:space="preserve">万元(其中</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rPr>
        <w:t xml:space="preserve">包1：</w:t>
      </w:r>
      <w:r>
        <w:rPr>
          <w:rFonts w:hint="eastAsia" w:ascii="宋体" w:hAnsi="宋体" w:cs="宋体"/>
          <w:color w:val="auto"/>
          <w:highlight w:val="none"/>
          <w:lang w:val="en-US" w:eastAsia="zh-CN"/>
        </w:rPr>
        <w:t xml:space="preserve">545</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rPr>
        <w:t xml:space="preserve">包2:</w:t>
      </w:r>
      <w:r>
        <w:rPr>
          <w:rFonts w:hint="eastAsia" w:ascii="宋体" w:hAnsi="宋体" w:cs="宋体"/>
          <w:color w:val="auto"/>
          <w:highlight w:val="none"/>
          <w:lang w:val="en-US" w:eastAsia="zh-CN"/>
        </w:rPr>
        <w:t xml:space="preserve"> 241</w:t>
      </w:r>
      <w:r>
        <w:rPr>
          <w:rFonts w:hint="eastAsia" w:ascii="宋体" w:hAnsi="宋体" w:eastAsia="宋体" w:cs="宋体"/>
          <w:color w:val="auto"/>
          <w:highlight w:val="none"/>
        </w:rPr>
        <w:t xml:space="preserve">万元)</w:t>
      </w:r>
      <w:r/>
    </w:p>
    <w:p>
      <w:pPr>
        <w:ind w:firstLine="420"/>
        <w:pageBreakBefore w:val="0"/>
        <w:spacing w:line="360" w:lineRule="auto"/>
        <w:widowControl w:val="off"/>
        <w:rPr>
          <w:rFonts w:hint="eastAsia" w:ascii="宋体" w:hAnsi="宋体"/>
          <w:color w:val="auto"/>
          <w:highlight w:val="yellow"/>
          <w:lang w:val="zh-CN"/>
        </w:rPr>
      </w:pPr>
      <w:r>
        <w:rPr>
          <w:rFonts w:hint="eastAsia" w:ascii="宋体" w:hAnsi="宋体"/>
          <w:color w:val="auto"/>
          <w:highlight w:val="none"/>
        </w:rPr>
        <w:t xml:space="preserve">5.最高限价：</w:t>
      </w:r>
      <w:r>
        <w:rPr>
          <w:rFonts w:hint="eastAsia" w:ascii="宋体" w:hAnsi="宋体"/>
          <w:color w:val="auto"/>
          <w:highlight w:val="none"/>
          <w:lang w:val="en-US" w:eastAsia="zh-CN"/>
        </w:rPr>
        <w:t xml:space="preserve">784.239519万元(本项目分两个包，其中分包1：544.087959万元，分包2:240.15156万元)，报价超过最高限价的为无效报价，按照无效响应处理。</w:t>
      </w:r>
      <w:r/>
    </w:p>
    <w:p>
      <w:pPr>
        <w:ind w:firstLine="42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en-US" w:eastAsia="zh-CN"/>
        </w:rPr>
        <w:t xml:space="preserve">6.</w:t>
      </w:r>
      <w:r>
        <w:rPr>
          <w:rFonts w:hint="eastAsia" w:ascii="宋体" w:hAnsi="宋体"/>
          <w:color w:val="auto"/>
          <w:highlight w:val="none"/>
          <w:lang w:val="zh-CN"/>
        </w:rPr>
        <w:t xml:space="preserve">分包1、分包2可兼投不可兼中，开标、评标顺序为分包1、分包2。</w:t>
      </w:r>
      <w:r/>
    </w:p>
    <w:p>
      <w:pPr>
        <w:ind w:firstLine="420"/>
        <w:keepLines w:val="0"/>
        <w:keepNext w:val="0"/>
        <w:pageBreakBefore w:val="0"/>
        <w:spacing w:before="157" w:line="360" w:lineRule="auto"/>
        <w:widowControl w:val="off"/>
        <w:rPr>
          <w:rFonts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.采购需求：见招标文件第四章</w:t>
      </w:r>
      <w:r/>
    </w:p>
    <w:p>
      <w:pPr>
        <w:ind w:firstLine="420"/>
        <w:pageBreakBefore w:val="0"/>
        <w:spacing w:line="360" w:lineRule="auto"/>
        <w:widowControl w:val="off"/>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8</w:t>
      </w:r>
      <w:r>
        <w:rPr>
          <w:rFonts w:hint="eastAsia" w:ascii="宋体" w:hAnsi="宋体"/>
          <w:color w:val="auto"/>
          <w:highlight w:val="none"/>
        </w:rPr>
        <w:t xml:space="preserve">.</w:t>
      </w:r>
      <w:r>
        <w:rPr>
          <w:rFonts w:hint="eastAsia" w:ascii="宋体" w:hAnsi="宋体"/>
          <w:color w:val="auto"/>
          <w:highlight w:val="none"/>
          <w:lang w:val="en-US" w:eastAsia="zh-CN"/>
        </w:rPr>
        <w:t xml:space="preserve">履行期限</w:t>
      </w:r>
      <w:r>
        <w:rPr>
          <w:rFonts w:hint="eastAsia" w:ascii="宋体" w:hAnsi="宋体"/>
          <w:color w:val="auto"/>
          <w:highlight w:val="none"/>
        </w:rPr>
        <w:t xml:space="preserve">：</w:t>
      </w:r>
      <w:r>
        <w:rPr>
          <w:rFonts w:hint="eastAsia" w:ascii="宋体" w:hAnsi="宋体"/>
          <w:color w:val="auto"/>
          <w:highlight w:val="none"/>
          <w:lang w:val="en-US" w:eastAsia="zh-CN"/>
        </w:rPr>
        <w:t xml:space="preserve">合同签订之日起120天内完成所有的项目建设，并实现与仪征市公安视频图像信息应用平台互通互联。</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.本项目</w:t>
      </w:r>
      <w:r>
        <w:rPr>
          <w:rFonts w:hint="eastAsia" w:ascii="宋体" w:hAnsi="宋体"/>
          <w:color w:val="auto"/>
          <w:highlight w:val="none"/>
          <w:u w:val="single"/>
        </w:rPr>
        <w:t xml:space="preserve">不接受</w:t>
      </w:r>
      <w:r>
        <w:rPr>
          <w:rFonts w:hint="eastAsia" w:ascii="宋体" w:hAnsi="宋体"/>
          <w:color w:val="auto"/>
          <w:highlight w:val="none"/>
        </w:rPr>
        <w:t xml:space="preserve">联合体投标</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lang w:val="en-US" w:eastAsia="zh-CN"/>
        </w:rPr>
        <w:t xml:space="preserve">10</w:t>
      </w:r>
      <w:r>
        <w:rPr>
          <w:rFonts w:hint="eastAsia" w:ascii="宋体" w:hAnsi="宋体"/>
          <w:color w:val="auto"/>
          <w:highlight w:val="none"/>
        </w:rPr>
        <w:t xml:space="preserve">.本项目</w:t>
      </w:r>
      <w:r>
        <w:rPr>
          <w:rFonts w:hint="eastAsia" w:ascii="宋体" w:hAnsi="宋体"/>
          <w:color w:val="auto"/>
          <w:highlight w:val="none"/>
          <w:u w:val="single"/>
        </w:rPr>
        <w:t xml:space="preserve">不接受</w:t>
      </w:r>
      <w:r>
        <w:rPr>
          <w:rFonts w:hint="eastAsia" w:ascii="宋体" w:hAnsi="宋体"/>
          <w:color w:val="auto"/>
          <w:highlight w:val="none"/>
        </w:rPr>
        <w:t xml:space="preserve">进口产品投标</w:t>
      </w:r>
      <w:r/>
    </w:p>
    <w:p>
      <w:pPr>
        <w:pStyle w:val="874"/>
        <w:keepLines/>
        <w:keepNext/>
        <w:pageBreakBefore w:val="0"/>
        <w:spacing w:before="20" w:after="20" w:line="360" w:lineRule="auto"/>
        <w:widowControl w:val="off"/>
        <w:rPr>
          <w:rFonts w:ascii="宋体" w:hAnsi="宋体" w:eastAsia="宋体" w:cs="宋体"/>
          <w:color w:val="auto"/>
          <w:sz w:val="21"/>
          <w:szCs w:val="21"/>
          <w:highlight w:val="none"/>
        </w:rPr>
      </w:pPr>
      <w:r/>
      <w:bookmarkStart w:id="9" w:name="_Toc28359013"/>
      <w:r/>
      <w:bookmarkStart w:id="10" w:name="_Toc28359090"/>
      <w:r/>
      <w:bookmarkStart w:id="11" w:name="_Toc35393799"/>
      <w:r/>
      <w:bookmarkStart w:id="12" w:name="_Toc35393630"/>
      <w:r>
        <w:rPr>
          <w:rFonts w:hint="eastAsia" w:ascii="宋体" w:hAnsi="宋体" w:eastAsia="宋体" w:cs="宋体"/>
          <w:color w:val="auto"/>
          <w:sz w:val="21"/>
          <w:szCs w:val="21"/>
          <w:highlight w:val="none"/>
        </w:rPr>
        <w:t xml:space="preserve">二、申请人的资格要求：</w:t>
      </w:r>
      <w:bookmarkEnd w:id="9"/>
      <w:r/>
      <w:bookmarkEnd w:id="10"/>
      <w:r/>
      <w:bookmarkEnd w:id="11"/>
      <w:r/>
      <w:bookmarkEnd w:id="12"/>
      <w:r/>
      <w:r/>
    </w:p>
    <w:p>
      <w:pPr>
        <w:ind w:firstLine="420"/>
        <w:pageBreakBefore w:val="0"/>
        <w:spacing w:line="360" w:lineRule="auto"/>
        <w:widowControl w:val="off"/>
        <w:rPr>
          <w:rFonts w:hint="eastAsia" w:ascii="宋体" w:hAnsi="宋体" w:cs="宋体"/>
          <w:color w:val="auto"/>
          <w:szCs w:val="21"/>
          <w:highlight w:val="none"/>
        </w:rPr>
      </w:pPr>
      <w:r/>
      <w:bookmarkStart w:id="13" w:name="_Toc28359014"/>
      <w:r/>
      <w:bookmarkStart w:id="14" w:name="_Toc28359091"/>
      <w:r/>
      <w:bookmarkStart w:id="15" w:name="_Toc35393631"/>
      <w:r/>
      <w:bookmarkStart w:id="16" w:name="_Toc35393800"/>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w:t>
      </w:r>
      <w:r>
        <w:rPr>
          <w:rFonts w:hint="eastAsia" w:ascii="宋体" w:hAnsi="宋体" w:cs="宋体"/>
          <w:b/>
          <w:bCs/>
          <w:i/>
          <w:iCs/>
          <w:color w:val="auto"/>
          <w:szCs w:val="21"/>
          <w:highlight w:val="none"/>
          <w:u w:val="single"/>
          <w:lang w:val="en-US" w:eastAsia="zh-CN"/>
        </w:rPr>
        <w:t xml:space="preserve">三个月</w:t>
      </w:r>
      <w:r>
        <w:rPr>
          <w:rFonts w:hint="eastAsia" w:ascii="宋体" w:hAnsi="宋体" w:cs="宋体"/>
          <w:b/>
          <w:bCs/>
          <w:i/>
          <w:iCs/>
          <w:color w:val="auto"/>
          <w:szCs w:val="21"/>
          <w:highlight w:val="none"/>
          <w:u w:val="single"/>
        </w:rPr>
        <w:t xml:space="preserve">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3</w:t>
      </w:r>
      <w:r>
        <w:rPr>
          <w:rFonts w:hint="eastAsia" w:ascii="宋体" w:hAnsi="宋体" w:cs="宋体"/>
          <w:i/>
          <w:iCs/>
          <w:color w:val="auto"/>
          <w:szCs w:val="21"/>
          <w:highlight w:val="none"/>
          <w:u w:val="single"/>
        </w:rPr>
        <w:t xml:space="preserve">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4</w:t>
      </w:r>
      <w:r>
        <w:rPr>
          <w:rFonts w:hint="eastAsia" w:ascii="宋体" w:hAnsi="宋体" w:cs="宋体"/>
          <w:i/>
          <w:iCs/>
          <w:color w:val="auto"/>
          <w:szCs w:val="21"/>
          <w:highlight w:val="none"/>
          <w:u w:val="single"/>
        </w:rPr>
        <w:t xml:space="preserve">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5</w:t>
      </w:r>
      <w:r>
        <w:rPr>
          <w:rFonts w:hint="eastAsia" w:ascii="宋体" w:hAnsi="宋体" w:cs="宋体"/>
          <w:i/>
          <w:iCs/>
          <w:color w:val="auto"/>
          <w:szCs w:val="21"/>
          <w:highlight w:val="none"/>
          <w:u w:val="single"/>
        </w:rPr>
        <w:t xml:space="preserve"> 参加本次政府采购活动前3年内在经营活动中没有重大违法记录的书面声明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1.6</w:t>
      </w:r>
      <w:r>
        <w:rPr>
          <w:rFonts w:hint="eastAsia" w:ascii="宋体" w:hAnsi="宋体"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color w:val="auto"/>
          <w:szCs w:val="21"/>
          <w:highlight w:val="none"/>
          <w:u w:val="single"/>
        </w:rPr>
        <w:t xml:space="preserve">（</w:t>
      </w:r>
      <w:r>
        <w:rPr>
          <w:rFonts w:hint="eastAsia" w:ascii="宋体" w:hAnsi="宋体" w:cs="宋体"/>
          <w:b/>
          <w:bCs/>
          <w:i/>
          <w:iCs/>
          <w:color w:val="auto"/>
          <w:szCs w:val="21"/>
          <w:highlight w:val="none"/>
          <w:u w:val="single"/>
          <w:lang w:val="en-US" w:eastAsia="zh-CN"/>
        </w:rPr>
        <w:t xml:space="preserve">提供网页截图</w:t>
      </w:r>
      <w:r>
        <w:rPr>
          <w:rFonts w:hint="eastAsia" w:ascii="宋体" w:hAnsi="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1.7</w:t>
      </w:r>
      <w:r>
        <w:rPr>
          <w:rFonts w:hint="eastAsia" w:ascii="宋体" w:hAnsi="宋体" w:eastAsia="宋体" w:cs="宋体"/>
          <w:i/>
          <w:iCs/>
          <w:color w:val="auto"/>
          <w:szCs w:val="21"/>
          <w:highlight w:val="none"/>
          <w:u w:val="single"/>
        </w:rPr>
        <w:t xml:space="preserve">供应商信用承诺函</w:t>
      </w:r>
      <w:r/>
    </w:p>
    <w:p>
      <w:pPr>
        <w:ind w:firstLine="420"/>
        <w:jc w:val="left"/>
        <w:keepLines w:val="0"/>
        <w:keepNext w:val="0"/>
        <w:pageBreakBefore w:val="0"/>
        <w:spacing w:after="150" w:line="360" w:lineRule="auto"/>
        <w:widowControl/>
        <w:rPr>
          <w:rFonts w:hint="eastAsia" w:ascii="宋体" w:hAnsi="宋体" w:cs="宋体"/>
          <w:b/>
          <w:bCs/>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b w:val="0"/>
          <w:bCs w:val="0"/>
          <w:i w:val="0"/>
          <w:iCs w:val="0"/>
          <w:color w:val="auto"/>
          <w:szCs w:val="21"/>
          <w:highlight w:val="none"/>
          <w:u w:val="none"/>
          <w:lang w:val="en-US" w:eastAsia="zh-CN"/>
        </w:rPr>
        <w:t xml:space="preserve">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bookmarkEnd w:id="13"/>
      <w:r/>
      <w:bookmarkEnd w:id="14"/>
      <w:r/>
      <w:bookmarkEnd w:id="15"/>
      <w:r/>
      <w:bookmarkEnd w:id="16"/>
      <w:r/>
      <w:r/>
    </w:p>
    <w:p>
      <w:pPr>
        <w:ind w:firstLine="422"/>
        <w:keepLines w:val="0"/>
        <w:keepNext w:val="0"/>
        <w:pageBreakBefore w:val="0"/>
        <w:spacing w:line="360" w:lineRule="auto"/>
        <w:widowControl w:val="off"/>
        <w:rPr>
          <w:rFonts w:hint="eastAsia" w:ascii="宋体" w:hAnsi="宋体" w:cs="宋体"/>
          <w:b/>
          <w:bCs w:val="0"/>
          <w:color w:val="auto"/>
          <w:sz w:val="21"/>
          <w:szCs w:val="21"/>
          <w:highlight w:val="none"/>
        </w:rPr>
      </w:pPr>
      <w:r/>
      <w:bookmarkStart w:id="17" w:name="_Toc9071"/>
      <w:r>
        <w:rPr>
          <w:rFonts w:hint="eastAsia" w:ascii="宋体" w:hAnsi="宋体" w:cs="宋体"/>
          <w:b/>
          <w:bCs w:val="0"/>
          <w:color w:val="auto"/>
          <w:sz w:val="21"/>
          <w:szCs w:val="21"/>
          <w:highlight w:val="none"/>
        </w:rPr>
        <w:t xml:space="preserve">三、获取招标文件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bookmarkStart w:id="18" w:name="_Toc17733"/>
      <w:r/>
      <w:bookmarkStart w:id="19" w:name="_Toc14561"/>
      <w:r>
        <w:rPr>
          <w:rFonts w:hint="eastAsia" w:ascii="宋体" w:hAnsi="宋体" w:cs="宋体"/>
          <w:b w:val="0"/>
          <w:bCs w:val="0"/>
          <w:color w:val="auto"/>
          <w:highlight w:val="none"/>
        </w:rPr>
        <w:t xml:space="preserve">1.时间：自招标文件公告发布之日起5个工作日</w:t>
      </w:r>
      <w:r>
        <w:rPr>
          <w:rFonts w:hint="eastAsia" w:ascii="宋体" w:hAnsi="宋体" w:cs="宋体"/>
          <w:highlight w:val="none"/>
        </w:rPr>
        <w:t xml:space="preserve">。</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2.地点：</w:t>
      </w:r>
      <w:r>
        <w:rPr>
          <w:rFonts w:hint="eastAsia" w:ascii="宋体" w:hAnsi="宋体" w:cs="宋体"/>
          <w:b w:val="0"/>
          <w:bCs w:val="0"/>
          <w:color w:val="auto"/>
          <w:highlight w:val="none"/>
          <w:u w:val="single"/>
        </w:rPr>
        <w:t xml:space="preserve">“仪征市政府采购网”、“扬州市政府采购网”、“</w:t>
      </w:r>
      <w:r>
        <w:rPr>
          <w:rFonts w:hint="eastAsia" w:ascii="宋体" w:hAnsi="宋体" w:cs="宋体"/>
          <w:b w:val="0"/>
          <w:bCs w:val="0"/>
          <w:color w:val="auto"/>
          <w:highlight w:val="none"/>
          <w:u w:val="single"/>
          <w:lang w:eastAsia="zh-CN"/>
        </w:rPr>
        <w:t xml:space="preserve">江苏政府采购网</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u w:val="single"/>
          <w:lang w:eastAsia="zh-CN"/>
        </w:rPr>
        <w:t xml:space="preserve">、</w:t>
      </w:r>
      <w:r>
        <w:rPr>
          <w:rFonts w:hint="eastAsia" w:ascii="宋体" w:hAnsi="宋体" w:cs="宋体"/>
          <w:b w:val="0"/>
          <w:bCs w:val="0"/>
          <w:color w:val="auto"/>
          <w:highlight w:val="none"/>
          <w:u w:val="single"/>
        </w:rPr>
        <w:t xml:space="preserve">“中国政府采购网”自行免费下载招标文件。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3.获取方式：</w:t>
      </w:r>
      <w:r>
        <w:rPr>
          <w:rFonts w:hint="eastAsia" w:ascii="宋体" w:hAnsi="宋体" w:cs="宋体"/>
          <w:b w:val="0"/>
          <w:bCs w:val="0"/>
          <w:color w:val="auto"/>
          <w:highlight w:val="none"/>
          <w:u w:val="single"/>
        </w:rPr>
        <w:t xml:space="preserve">本项目采用网上注册登记方式。</w:t>
      </w:r>
      <w:bookmarkEnd w:id="18"/>
      <w:r/>
      <w:bookmarkEnd w:id="19"/>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spacing w:line="400" w:lineRule="exact"/>
        <w:rPr>
          <w:rFonts w:ascii="宋体" w:hAnsi="宋体"/>
          <w:bCs/>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olor w:val="auto"/>
          <w:szCs w:val="21"/>
          <w:highlight w:val="none"/>
          <w:u w:val="single"/>
        </w:rPr>
        <w:t xml:space="preserve">202</w:t>
      </w:r>
      <w:r>
        <w:rPr>
          <w:rFonts w:hint="eastAsia" w:ascii="宋体" w:hAnsi="宋体"/>
          <w:color w:val="auto"/>
          <w:szCs w:val="21"/>
          <w:highlight w:val="none"/>
          <w:u w:val="single"/>
          <w:lang w:val="en-US" w:eastAsia="zh-CN"/>
        </w:rPr>
        <w:t xml:space="preserve">6</w:t>
      </w:r>
      <w:r>
        <w:rPr>
          <w:rFonts w:hint="eastAsia" w:ascii="宋体" w:hAnsi="宋体"/>
          <w:bCs/>
          <w:color w:val="auto"/>
          <w:szCs w:val="21"/>
          <w:highlight w:val="none"/>
          <w:u w:val="single"/>
        </w:rPr>
        <w:t xml:space="preserve">年</w:t>
      </w:r>
      <w:r>
        <w:rPr>
          <w:rFonts w:hint="eastAsia" w:ascii="宋体" w:hAnsi="宋体"/>
          <w:bCs/>
          <w:color w:val="auto"/>
          <w:szCs w:val="21"/>
          <w:highlight w:val="none"/>
          <w:u w:val="single"/>
          <w:lang w:val="en-US" w:eastAsia="zh-CN"/>
        </w:rPr>
        <w:t xml:space="preserve">06</w:t>
      </w:r>
      <w:r>
        <w:rPr>
          <w:rFonts w:hint="eastAsia" w:ascii="宋体" w:hAnsi="宋体"/>
          <w:bCs/>
          <w:color w:val="auto"/>
          <w:szCs w:val="21"/>
          <w:highlight w:val="none"/>
          <w:u w:val="single"/>
        </w:rPr>
        <w:t xml:space="preserve">月</w:t>
      </w:r>
      <w:r>
        <w:rPr>
          <w:rFonts w:hint="eastAsia" w:ascii="宋体" w:hAnsi="宋体"/>
          <w:bCs/>
          <w:color w:val="auto"/>
          <w:szCs w:val="21"/>
          <w:highlight w:val="none"/>
          <w:u w:val="single"/>
          <w:lang w:val="en-US" w:eastAsia="zh-CN"/>
        </w:rPr>
        <w:t xml:space="preserve">30</w:t>
      </w:r>
      <w:bookmarkStart w:id="94" w:name="_GoBack"/>
      <w:r/>
      <w:bookmarkEnd w:id="94"/>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日 09点 00分</w:t>
      </w:r>
      <w:r>
        <w:rPr>
          <w:rFonts w:hint="eastAsia" w:ascii="宋体" w:hAnsi="宋体" w:cs="宋体"/>
          <w:bCs/>
          <w:color w:val="auto"/>
          <w:szCs w:val="21"/>
          <w:highlight w:val="none"/>
        </w:rPr>
        <w:t xml:space="preserve">（北京时间）</w:t>
      </w:r>
      <w:r/>
    </w:p>
    <w:p>
      <w:pPr>
        <w:ind w:firstLine="420"/>
        <w:spacing w:line="400" w:lineRule="exact"/>
        <w:rPr>
          <w:rFonts w:hint="eastAsia" w:ascii="宋体" w:hAnsi="宋体" w:cs="宋体"/>
          <w:bCs/>
          <w:color w:val="auto"/>
          <w:szCs w:val="21"/>
          <w:highlight w:val="none"/>
          <w:u w:val="single"/>
        </w:rPr>
      </w:pPr>
      <w:r>
        <w:rPr>
          <w:rFonts w:hint="eastAsia" w:ascii="宋体" w:hAnsi="宋体"/>
          <w:color w:val="auto"/>
          <w:szCs w:val="21"/>
          <w:highlight w:val="none"/>
        </w:rPr>
        <w:t xml:space="preserve">2.开标地点：</w:t>
      </w:r>
      <w:r>
        <w:rPr>
          <w:rFonts w:hint="eastAsia" w:ascii="宋体" w:hAnsi="宋体"/>
          <w:b/>
          <w:color w:val="auto"/>
          <w:szCs w:val="21"/>
          <w:highlight w:val="none"/>
        </w:rPr>
        <w:t xml:space="preserve">“苏采云”系统（网址：http://jszfcg.jsczt.cn/）“开标大厅”</w:t>
      </w:r>
      <w:r/>
    </w:p>
    <w:p>
      <w:pPr>
        <w:ind w:firstLine="422"/>
        <w:spacing w:line="360" w:lineRule="auto"/>
        <w:tabs>
          <w:tab w:val="left" w:pos="266" w:leader="none"/>
        </w:tabs>
        <w:rPr>
          <w:rFonts w:ascii="宋体" w:hAnsi="宋体" w:cs="宋体"/>
          <w:b/>
          <w:bCs/>
          <w:color w:val="auto"/>
          <w:highlight w:val="none"/>
        </w:rPr>
      </w:pPr>
      <w:r/>
      <w:bookmarkStart w:id="20" w:name="_Toc28359084"/>
      <w:r/>
      <w:bookmarkStart w:id="21" w:name="_Toc28359007"/>
      <w:r/>
      <w:bookmarkStart w:id="22" w:name="_Toc35393625"/>
      <w:r/>
      <w:bookmarkStart w:id="23" w:name="_Toc35393794"/>
      <w:r/>
      <w:bookmarkStart w:id="24" w:name="_Toc38985267"/>
      <w:r>
        <w:rPr>
          <w:rFonts w:hint="eastAsia" w:ascii="宋体" w:hAnsi="宋体" w:cs="宋体"/>
          <w:b/>
          <w:bCs/>
          <w:color w:val="auto"/>
          <w:highlight w:val="none"/>
        </w:rPr>
        <w:t xml:space="preserve">五、公告期限</w:t>
      </w:r>
      <w:bookmarkEnd w:id="20"/>
      <w:r/>
      <w:bookmarkEnd w:id="21"/>
      <w:r/>
      <w:bookmarkEnd w:id="22"/>
      <w:r/>
      <w:bookmarkEnd w:id="23"/>
      <w:r/>
      <w:bookmarkEnd w:id="24"/>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2"/>
        <w:spacing w:line="360" w:lineRule="auto"/>
        <w:tabs>
          <w:tab w:val="left" w:pos="266" w:leader="none"/>
        </w:tabs>
        <w:rPr>
          <w:rFonts w:ascii="宋体" w:hAnsi="宋体" w:cs="宋体"/>
          <w:b/>
          <w:bCs/>
          <w:color w:val="auto"/>
          <w:highlight w:val="none"/>
        </w:rPr>
      </w:pPr>
      <w:r/>
      <w:bookmarkStart w:id="25" w:name="_Toc2469"/>
      <w:r/>
      <w:bookmarkStart w:id="26" w:name="_Toc24018"/>
      <w:r>
        <w:rPr>
          <w:rFonts w:hint="eastAsia" w:ascii="宋体" w:hAnsi="宋体" w:cs="宋体"/>
          <w:b/>
          <w:bCs/>
          <w:color w:val="auto"/>
          <w:highlight w:val="none"/>
        </w:rPr>
        <w:t xml:space="preserve">六、其他补充事宜</w:t>
      </w:r>
      <w:r/>
    </w:p>
    <w:p>
      <w:pPr>
        <w:ind w:firstLine="422"/>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3.潜在供应商对采购文件项目需求部分的询问、质疑请向采购人提出，由采购人负责答复。</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4.本次采购不收取投标保证金。</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5.</w:t>
      </w:r>
      <w:r>
        <w:rPr>
          <w:rFonts w:hint="eastAsia"/>
          <w:color w:val="auto"/>
          <w:sz w:val="19"/>
          <w:szCs w:val="19"/>
          <w:highlight w:val="none"/>
          <w:shd w:val="clear" w:color="auto" w:fill="ffffff"/>
        </w:rPr>
        <w:t xml:space="preserve"> </w:t>
      </w:r>
      <w:r>
        <w:rPr>
          <w:rFonts w:hint="eastAsia" w:ascii="宋体" w:hAnsi="宋体" w:cs="宋体"/>
          <w:b/>
          <w:bCs/>
          <w:color w:val="auto"/>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auto"/>
          <w:szCs w:val="21"/>
          <w:highlight w:val="none"/>
          <w:lang w:eastAsia="zh-CN"/>
        </w:rPr>
        <w:t xml:space="preserve">江苏政府采购网</w:t>
      </w:r>
      <w:r>
        <w:rPr>
          <w:rFonts w:hint="eastAsia" w:ascii="宋体" w:hAnsi="宋体" w:cs="宋体"/>
          <w:b/>
          <w:bCs/>
          <w:color w:val="auto"/>
          <w:szCs w:val="21"/>
          <w:highlight w:val="none"/>
        </w:rPr>
        <w:t xml:space="preserve">（ccgp-jiangsu.gov.cn）”、“中国政府采购网（ccgp.gov.cn）”发布的信息。</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6.</w:t>
      </w:r>
      <w:r>
        <w:rPr>
          <w:rFonts w:hint="eastAsia" w:ascii="宋体" w:hAnsi="宋体" w:cs="宋体"/>
          <w:b/>
          <w:bCs/>
          <w:i/>
          <w:color w:val="auto"/>
          <w:szCs w:val="21"/>
          <w:highlight w:val="none"/>
          <w:u w:val="single"/>
        </w:rPr>
        <w:t xml:space="preserve">本项目采购文件中所有斜体下划线部分为实质性条款，如不满足，则为无效投标。</w:t>
      </w:r>
      <w:r/>
    </w:p>
    <w:p>
      <w:pPr>
        <w:ind w:firstLine="422"/>
        <w:jc w:val="left"/>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7.如在开标时间发生系统崩溃等不可预见的情况，造成开评标活动无法正常进行的，将延迟开评标，具体开评标时间另行通知。</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8.潜在供应商访问政府采购管理交易系统（苏采云）的网络地址和方法：</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9.落实好政府采购履约资金扶持政策其他相关政策</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（1）中标/成交供应商可凭政府采购合同办理融资贷款，详见江苏政府采购网“政采贷”专栏。</w:t>
      </w:r>
      <w:r/>
    </w:p>
    <w:p>
      <w:pPr>
        <w:ind w:firstLine="422"/>
        <w:keepLines w:val="0"/>
        <w:keepNext w:val="0"/>
        <w:pageBreakBefore w:val="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25"/>
      <w:r/>
      <w:bookmarkEnd w:id="26"/>
      <w:r/>
      <w:r/>
    </w:p>
    <w:p>
      <w:pPr>
        <w:ind w:firstLine="422"/>
        <w:spacing w:line="360" w:lineRule="auto"/>
        <w:tabs>
          <w:tab w:val="left" w:pos="266" w:leader="none"/>
        </w:tabs>
        <w:rPr>
          <w:rFonts w:ascii="宋体" w:hAnsi="宋体" w:cs="宋体"/>
          <w:b/>
          <w:bCs/>
          <w:color w:val="auto"/>
          <w:highlight w:val="none"/>
        </w:rPr>
      </w:pPr>
      <w:r/>
      <w:bookmarkStart w:id="27" w:name="_Toc28359008"/>
      <w:r/>
      <w:bookmarkStart w:id="28" w:name="_Toc35393796"/>
      <w:r/>
      <w:bookmarkStart w:id="29" w:name="_Toc28359085"/>
      <w:r/>
      <w:bookmarkStart w:id="30" w:name="_Toc38985269"/>
      <w:r/>
      <w:bookmarkStart w:id="31" w:name="_Toc35393627"/>
      <w:r>
        <w:rPr>
          <w:rFonts w:hint="eastAsia" w:ascii="宋体" w:hAnsi="宋体" w:cs="宋体"/>
          <w:b/>
          <w:bCs/>
          <w:color w:val="auto"/>
          <w:highlight w:val="none"/>
        </w:rPr>
        <w:t xml:space="preserve">七、本次招标联系方式</w:t>
      </w:r>
      <w:bookmarkEnd w:id="27"/>
      <w:r/>
      <w:bookmarkEnd w:id="28"/>
      <w:r/>
      <w:bookmarkEnd w:id="29"/>
      <w:r/>
      <w:bookmarkEnd w:id="30"/>
      <w:r/>
      <w:bookmarkEnd w:id="31"/>
      <w:r/>
      <w:r/>
    </w:p>
    <w:p>
      <w:pPr>
        <w:pStyle w:val="88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pStyle w:val="887"/>
        <w:ind w:firstLine="42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eastAsia="zh-CN"/>
        </w:rPr>
        <w:t xml:space="preserve">仪征市公安局</w:t>
      </w:r>
      <w:r>
        <w:rPr>
          <w:rFonts w:hint="eastAsia" w:ascii="宋体" w:hAnsi="宋体" w:eastAsia="宋体" w:cs="宋体"/>
          <w:color w:val="auto"/>
          <w:sz w:val="21"/>
          <w:szCs w:val="21"/>
          <w:highlight w:val="none"/>
          <w:u w:val="single"/>
          <w:lang w:val="en-US" w:eastAsia="zh-CN"/>
        </w:rPr>
        <w:t xml:space="preserve"> </w:t>
      </w:r>
      <w:r/>
    </w:p>
    <w:p>
      <w:pPr>
        <w:pStyle w:val="887"/>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址：</w:t>
      </w:r>
      <w:r>
        <w:rPr>
          <w:rFonts w:hint="eastAsia" w:ascii="宋体" w:hAnsi="宋体" w:eastAsia="宋体" w:cs="宋体"/>
          <w:color w:val="auto"/>
          <w:sz w:val="21"/>
          <w:szCs w:val="21"/>
          <w:highlight w:val="none"/>
          <w:u w:val="single"/>
        </w:rPr>
        <w:t xml:space="preserve">仪征市大庆北路89号 </w:t>
      </w:r>
      <w:r/>
    </w:p>
    <w:p>
      <w:pPr>
        <w:pStyle w:val="887"/>
        <w:ind w:firstLine="42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u w:val="single"/>
          <w:lang w:val="en-US" w:eastAsia="zh-CN"/>
        </w:rPr>
        <w:t xml:space="preserve">陈国峰</w:t>
      </w:r>
      <w:r/>
    </w:p>
    <w:p>
      <w:pPr>
        <w:pStyle w:val="887"/>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u w:val="single"/>
          <w:lang w:val="en-US" w:eastAsia="zh-CN"/>
        </w:rPr>
        <w:t xml:space="preserve">15150890005</w:t>
      </w:r>
      <w:r/>
    </w:p>
    <w:p>
      <w:pPr>
        <w:pStyle w:val="88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pStyle w:val="887"/>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u w:val="single"/>
          <w:lang w:eastAsia="zh-CN"/>
        </w:rPr>
        <w:t xml:space="preserve">扬州博远工程咨询有限公司</w:t>
      </w:r>
      <w:r/>
    </w:p>
    <w:p>
      <w:pPr>
        <w:pStyle w:val="887"/>
        <w:ind w:firstLine="420"/>
        <w:spacing w:line="360" w:lineRule="auto"/>
        <w:rPr>
          <w:rFonts w:hint="eastAsia" w:ascii="宋体" w:hAnsi="宋体" w:eastAsia="宋体" w:cs="宋体"/>
          <w:color w:val="auto"/>
          <w:sz w:val="21"/>
          <w:szCs w:val="21"/>
          <w:highlight w:val="none"/>
        </w:rPr>
      </w:pPr>
      <w:r/>
      <w:bookmarkStart w:id="32" w:name="_Toc28359010"/>
      <w:r/>
      <w:bookmarkStart w:id="33" w:name="_Toc28359087"/>
      <w:r>
        <w:rPr>
          <w:rFonts w:hint="eastAsia" w:ascii="宋体" w:hAnsi="宋体" w:eastAsia="宋体" w:cs="宋体"/>
          <w:color w:val="auto"/>
          <w:sz w:val="21"/>
          <w:szCs w:val="21"/>
          <w:highlight w:val="none"/>
        </w:rPr>
        <w:t xml:space="preserve">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u w:val="single"/>
          <w:lang w:val="en-US" w:eastAsia="zh-CN"/>
        </w:rPr>
        <w:t xml:space="preserve">吴长亮</w:t>
      </w:r>
      <w:r/>
    </w:p>
    <w:p>
      <w:pPr>
        <w:pStyle w:val="88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lang w:eastAsia="zh-CN"/>
        </w:rPr>
        <w:t xml:space="preserve">仪征市万年北路163号（万年商城内东南角二楼）</w:t>
      </w:r>
      <w:r/>
    </w:p>
    <w:p>
      <w:pPr>
        <w:pStyle w:val="887"/>
        <w:ind w:firstLine="42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联系方式：</w:t>
      </w:r>
      <w:bookmarkStart w:id="34" w:name="_Toc35393808"/>
      <w:r/>
      <w:bookmarkStart w:id="35" w:name="_Toc28359098"/>
      <w:r/>
      <w:bookmarkStart w:id="36" w:name="_Toc28359021"/>
      <w:r/>
      <w:bookmarkStart w:id="37" w:name="_Toc35393639"/>
      <w:r>
        <w:rPr>
          <w:rFonts w:hint="eastAsia" w:ascii="宋体" w:hAnsi="宋体" w:eastAsia="宋体" w:cs="宋体"/>
          <w:color w:val="auto"/>
          <w:sz w:val="21"/>
          <w:szCs w:val="21"/>
          <w:highlight w:val="none"/>
          <w:u w:val="single"/>
          <w:lang w:val="en-US" w:eastAsia="zh-CN"/>
        </w:rPr>
        <w:t xml:space="preserve">15380385521</w:t>
      </w:r>
      <w:bookmarkEnd w:id="32"/>
      <w:r/>
      <w:bookmarkEnd w:id="33"/>
      <w:r/>
      <w:bookmarkEnd w:id="34"/>
      <w:r/>
      <w:bookmarkEnd w:id="35"/>
      <w:r/>
      <w:bookmarkEnd w:id="36"/>
      <w:r/>
      <w:bookmarkEnd w:id="37"/>
      <w:r>
        <w:rPr>
          <w:rFonts w:hint="default" w:ascii="宋体" w:hAnsi="宋体" w:eastAsia="宋体" w:cs="宋体"/>
          <w:bCs/>
          <w:color w:val="auto"/>
          <w:sz w:val="21"/>
          <w:szCs w:val="22"/>
          <w:highlight w:val="none"/>
          <w:lang w:val="en-US" w:eastAsia="zh-CN" w:bidi="ar-SA"/>
        </w:rPr>
      </w:r>
      <w:bookmarkEnd w:id="8"/>
      <w:r/>
      <w:bookmarkEnd w:id="17"/>
      <w:r>
        <w:rPr>
          <w:rFonts w:hint="default" w:ascii="宋体" w:hAnsi="宋体" w:eastAsia="宋体" w:cs="宋体"/>
          <w:color w:val="auto"/>
          <w:sz w:val="21"/>
          <w:szCs w:val="21"/>
          <w:highlight w:val="none"/>
          <w:lang w:val="en-US"/>
        </w:rPr>
      </w:r>
      <w:r/>
    </w:p>
    <w:p>
      <w:pPr>
        <w:pStyle w:val="876"/>
        <w:ind w:firstLine="723"/>
        <w:jc w:val="center"/>
        <w:keepLines w:val="0"/>
        <w:keepNext w:val="0"/>
        <w:pageBreakBefore w:val="0"/>
        <w:spacing w:before="0" w:after="0" w:line="360" w:lineRule="auto"/>
        <w:widowControl w:val="off"/>
        <w:rPr>
          <w:rFonts w:hint="default" w:ascii="宋体" w:hAnsi="宋体" w:eastAsia="宋体"/>
          <w:bCs w:val="0"/>
          <w:color w:val="auto"/>
          <w:sz w:val="36"/>
          <w:szCs w:val="36"/>
          <w:highlight w:val="none"/>
          <w:lang w:val="en-US" w:eastAsia="zh-CN"/>
        </w:rPr>
      </w:pPr>
      <w:r>
        <w:rPr>
          <w:rFonts w:hint="eastAsia" w:ascii="宋体" w:hAnsi="宋体" w:eastAsia="宋体"/>
          <w:bCs w:val="0"/>
          <w:color w:val="auto"/>
          <w:sz w:val="36"/>
          <w:szCs w:val="36"/>
          <w:highlight w:val="none"/>
          <w:lang w:val="en-US" w:eastAsia="zh-CN"/>
        </w:rPr>
        <w:t xml:space="preserve">第二章 投标人须知</w:t>
      </w:r>
      <w:r/>
    </w:p>
    <w:p>
      <w:pPr>
        <w:pStyle w:val="876"/>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1、招标方式</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1.1 本次招标采取公开招标方式，本招标文件仅适用于</w:t>
      </w:r>
      <w:r>
        <w:rPr>
          <w:rFonts w:hint="eastAsia" w:ascii="宋体" w:hAnsi="宋体"/>
          <w:color w:val="auto"/>
          <w:highlight w:val="none"/>
          <w:lang w:val="en-US" w:eastAsia="zh-CN"/>
        </w:rPr>
        <w:t xml:space="preserve">招标公告中所述</w:t>
      </w:r>
      <w:r>
        <w:rPr>
          <w:rFonts w:hint="eastAsia" w:ascii="宋体" w:hAnsi="宋体"/>
          <w:color w:val="auto"/>
          <w:highlight w:val="none"/>
        </w:rPr>
        <w:t xml:space="preserve">项目。</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2、投标人</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876"/>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2.2合格的投标人</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2.2.1 </w:t>
      </w:r>
      <w:r>
        <w:rPr>
          <w:rFonts w:hint="eastAsia" w:ascii="宋体" w:hAnsi="宋体"/>
          <w:bCs/>
          <w:color w:val="auto"/>
          <w:szCs w:val="21"/>
          <w:highlight w:val="none"/>
        </w:rPr>
        <w:t xml:space="preserve">满足招标公告中供应商的资格条件要求的规定</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2.2.2 满足本文件实质性条款的规定。</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b/>
          <w:bCs/>
          <w:color w:val="auto"/>
          <w:szCs w:val="21"/>
          <w:highlight w:val="none"/>
        </w:rPr>
      </w:pPr>
      <w:r>
        <w:rPr>
          <w:rFonts w:hint="eastAsia" w:ascii="宋体" w:hAnsi="宋体"/>
          <w:b/>
          <w:bCs/>
          <w:color w:val="auto"/>
          <w:highlight w:val="none"/>
        </w:rPr>
        <w:t xml:space="preserve">4、投标费用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4.1 投标人应自行承担所有与参加投标有关的费用，无论投标过程中的做法和结果如何，</w:t>
      </w:r>
      <w:r>
        <w:rPr>
          <w:rFonts w:hint="eastAsia" w:ascii="宋体" w:hAnsi="宋体"/>
          <w:color w:val="auto"/>
          <w:highlight w:val="none"/>
          <w:lang w:eastAsia="zh-CN"/>
        </w:rPr>
        <w:t xml:space="preserve">扬州博远工程咨询有限公司</w:t>
      </w:r>
      <w:r>
        <w:rPr>
          <w:rFonts w:hint="eastAsia" w:ascii="宋体" w:hAnsi="宋体"/>
          <w:color w:val="auto"/>
          <w:highlight w:val="none"/>
        </w:rPr>
        <w:t xml:space="preserve">(以下简称代理机构)在任何情况下均无义务和责任承担这些费用。</w:t>
      </w:r>
      <w:r/>
    </w:p>
    <w:p>
      <w:pPr>
        <w:ind w:firstLine="420"/>
        <w:spacing w:after="156" w:line="50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4.2</w:t>
      </w:r>
      <w:r>
        <w:rPr>
          <w:rFonts w:hint="eastAsia" w:ascii="宋体" w:hAnsi="宋体" w:eastAsia="宋体" w:cs="宋体"/>
          <w:highlight w:val="none"/>
        </w:rPr>
        <w:t xml:space="preserve">本次采购</w:t>
      </w:r>
      <w:r>
        <w:rPr>
          <w:rFonts w:hint="eastAsia" w:ascii="宋体" w:hAnsi="宋体" w:cs="宋体"/>
          <w:highlight w:val="none"/>
          <w:lang w:val="en-US" w:eastAsia="zh-CN"/>
        </w:rPr>
        <w:t xml:space="preserve">代理费由采购人支付</w:t>
      </w:r>
      <w:r>
        <w:rPr>
          <w:rFonts w:hint="eastAsia" w:ascii="宋体" w:hAnsi="宋体" w:cs="宋体"/>
          <w:highlight w:val="none"/>
          <w:lang w:eastAsia="zh-CN"/>
        </w:rPr>
        <w:t xml:space="preserve">，</w:t>
      </w:r>
      <w:r>
        <w:rPr>
          <w:rFonts w:hint="eastAsia" w:ascii="宋体" w:hAnsi="宋体" w:eastAsia="宋体" w:cs="宋体"/>
          <w:highlight w:val="none"/>
        </w:rPr>
        <w:t xml:space="preserve">按照国家计委印发的</w:t>
      </w:r>
      <w:r>
        <w:rPr>
          <w:rFonts w:hint="eastAsia" w:ascii="宋体" w:hAnsi="宋体" w:eastAsia="宋体" w:cs="宋体"/>
          <w:color w:val="000000"/>
          <w:highlight w:val="none"/>
        </w:rPr>
        <w:t xml:space="preserve">《招标代理服务收费管理暂行办法》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计价格【2002】1980 号文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货物类（服务类）</w:t>
      </w:r>
      <w:r>
        <w:rPr>
          <w:rFonts w:hint="eastAsia" w:ascii="宋体" w:hAnsi="宋体" w:eastAsia="宋体" w:cs="宋体"/>
          <w:color w:val="auto"/>
          <w:highlight w:val="none"/>
        </w:rPr>
        <w:t xml:space="preserve">的标准</w:t>
      </w: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一</w:t>
      </w:r>
      <w:r>
        <w:rPr>
          <w:rFonts w:hint="eastAsia" w:ascii="宋体" w:hAnsi="宋体" w:eastAsia="宋体" w:cs="宋体"/>
          <w:color w:val="000000"/>
          <w:highlight w:val="none"/>
        </w:rPr>
        <w:t xml:space="preserve">次性支付给招标代理机构代理服务费 (不满叁仟元按叁仟元计取）。</w:t>
      </w:r>
      <w:r/>
    </w:p>
    <w:p>
      <w:pPr>
        <w:ind w:firstLine="420"/>
        <w:spacing w:line="360" w:lineRule="auto"/>
        <w:rPr>
          <w:color w:val="000000"/>
          <w:highlight w:val="none"/>
        </w:rPr>
      </w:pPr>
      <w:r>
        <w:rPr>
          <w:color w:val="000000"/>
          <w:highlight w:val="none"/>
        </w:rPr>
        <w:t xml:space="preserve">（1）代理服务费以人民币支付； </w:t>
      </w:r>
      <w:r/>
    </w:p>
    <w:p>
      <w:pPr>
        <w:ind w:firstLine="420"/>
        <w:spacing w:line="360" w:lineRule="auto"/>
        <w:rPr>
          <w:color w:val="000000"/>
          <w:highlight w:val="none"/>
        </w:rPr>
      </w:pPr>
      <w:r>
        <w:rPr>
          <w:color w:val="000000"/>
          <w:highlight w:val="none"/>
        </w:rPr>
        <w:t xml:space="preserve">（2）代理服务费一次性以电汇、转账等非现金形式支付； </w:t>
      </w:r>
      <w:r/>
    </w:p>
    <w:p>
      <w:pPr>
        <w:ind w:firstLine="420"/>
        <w:spacing w:line="360" w:lineRule="auto"/>
        <w:rPr>
          <w:color w:val="auto"/>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w:t>
      </w:r>
      <w:r>
        <w:rPr>
          <w:highlight w:val="none"/>
        </w:rPr>
        <w:t xml:space="preserve">由中标单位支付给代理机构。</w:t>
      </w:r>
      <w:r>
        <w:rPr>
          <w:color w:val="000000"/>
          <w:highlight w:val="none"/>
        </w:rPr>
        <w:t xml:space="preserve"> </w:t>
      </w:r>
      <w:r>
        <w:rPr>
          <w:color w:val="auto"/>
          <w:highlight w:val="none"/>
        </w:rPr>
        <w:t xml:space="preserve"> </w:t>
      </w:r>
      <w:r/>
    </w:p>
    <w:p>
      <w:pPr>
        <w:ind w:firstLine="420"/>
        <w:spacing w:line="360" w:lineRule="auto"/>
        <w:rPr>
          <w:rFonts w:hint="eastAsia"/>
          <w:color w:val="auto"/>
          <w:highlight w:val="none"/>
        </w:rPr>
      </w:pPr>
      <w:r>
        <w:rPr>
          <w:rFonts w:hint="eastAsia" w:ascii="宋体" w:hAnsi="宋体" w:eastAsia="宋体" w:cs="Times New Roman"/>
          <w:color w:val="auto"/>
          <w:highlight w:val="none"/>
        </w:rPr>
        <w:t xml:space="preserve">4.</w:t>
      </w:r>
      <w:r>
        <w:rPr>
          <w:rFonts w:hint="eastAsia" w:ascii="宋体" w:hAnsi="宋体" w:eastAsia="宋体" w:cs="Times New Roman"/>
          <w:color w:val="auto"/>
          <w:highlight w:val="none"/>
          <w:lang w:val="en-US" w:eastAsia="zh-CN"/>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5、招标文件的约束力</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5.1 投标人一旦参加本项目采购活动，即被认为接受了本招标文件的规定和约束。</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6、招标文件构成</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6.1 招标文件有以下部分组成：</w:t>
      </w:r>
      <w:r/>
    </w:p>
    <w:p>
      <w:pPr>
        <w:ind w:firstLine="315"/>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val="en-US" w:eastAsia="zh-CN"/>
        </w:rPr>
        <w:t xml:space="preserve">招标公告</w:t>
      </w:r>
      <w:r/>
    </w:p>
    <w:p>
      <w:pPr>
        <w:ind w:firstLine="315"/>
        <w:spacing w:line="360" w:lineRule="auto"/>
        <w:rPr>
          <w:rFonts w:ascii="宋体" w:hAnsi="宋体"/>
          <w:color w:val="auto"/>
          <w:highlight w:val="none"/>
        </w:rPr>
      </w:pPr>
      <w:r>
        <w:rPr>
          <w:rFonts w:hint="eastAsia" w:ascii="宋体" w:hAnsi="宋体"/>
          <w:color w:val="auto"/>
          <w:highlight w:val="none"/>
        </w:rPr>
        <w:t xml:space="preserve">（2）投标人须知</w:t>
      </w:r>
      <w:r/>
    </w:p>
    <w:p>
      <w:pPr>
        <w:ind w:firstLine="315"/>
        <w:spacing w:line="360" w:lineRule="auto"/>
        <w:rPr>
          <w:rFonts w:ascii="宋体" w:hAnsi="宋体"/>
          <w:color w:val="auto"/>
          <w:highlight w:val="none"/>
        </w:rPr>
      </w:pPr>
      <w:r>
        <w:rPr>
          <w:rFonts w:hint="eastAsia" w:ascii="宋体" w:hAnsi="宋体"/>
          <w:color w:val="auto"/>
          <w:highlight w:val="none"/>
        </w:rPr>
        <w:t xml:space="preserve">（3）合同文本</w:t>
      </w:r>
      <w:r/>
    </w:p>
    <w:p>
      <w:pPr>
        <w:ind w:firstLine="315"/>
        <w:spacing w:line="360" w:lineRule="auto"/>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采购</w:t>
      </w:r>
      <w:r>
        <w:rPr>
          <w:rFonts w:hint="eastAsia" w:ascii="宋体" w:hAnsi="宋体"/>
          <w:color w:val="auto"/>
          <w:highlight w:val="none"/>
        </w:rPr>
        <w:t xml:space="preserve">需求</w:t>
      </w:r>
      <w:r/>
    </w:p>
    <w:p>
      <w:pPr>
        <w:ind w:firstLine="315"/>
        <w:spacing w:line="360" w:lineRule="auto"/>
        <w:rPr>
          <w:rFonts w:ascii="宋体" w:hAnsi="宋体"/>
          <w:color w:val="auto"/>
          <w:highlight w:val="none"/>
        </w:rPr>
      </w:pPr>
      <w:r>
        <w:rPr>
          <w:rFonts w:hint="eastAsia" w:ascii="宋体" w:hAnsi="宋体"/>
          <w:color w:val="auto"/>
          <w:highlight w:val="none"/>
        </w:rPr>
        <w:t xml:space="preserve">（5）评标方法与评标标准</w:t>
      </w:r>
      <w:r/>
    </w:p>
    <w:p>
      <w:pPr>
        <w:ind w:firstLine="315"/>
        <w:spacing w:line="360" w:lineRule="auto"/>
        <w:rPr>
          <w:rFonts w:ascii="宋体" w:hAnsi="宋体"/>
          <w:color w:val="auto"/>
          <w:highlight w:val="none"/>
        </w:rPr>
      </w:pPr>
      <w:r>
        <w:rPr>
          <w:rFonts w:hint="eastAsia" w:ascii="宋体" w:hAnsi="宋体"/>
          <w:color w:val="auto"/>
          <w:highlight w:val="none"/>
        </w:rPr>
        <w:t xml:space="preserve">（6）投标文件格式</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请仔细检查招标文件是否齐全，如有缺漏请立即与代理机构联系解决。</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6.2 招标的最小单位是包。</w:t>
      </w:r>
      <w:r>
        <w:rPr>
          <w:rFonts w:hint="eastAsia" w:ascii="宋体" w:hAnsi="宋体"/>
          <w:bCs/>
          <w:color w:val="auto"/>
          <w:szCs w:val="21"/>
          <w:highlight w:val="none"/>
        </w:rPr>
        <w:t xml:space="preserve">招标</w:t>
      </w:r>
      <w:r>
        <w:rPr>
          <w:rFonts w:hint="eastAsia" w:ascii="宋体" w:hAnsi="宋体"/>
          <w:color w:val="auto"/>
          <w:highlight w:val="none"/>
        </w:rPr>
        <w:t xml:space="preserve">服务数量及技术要求中未分包的，</w:t>
      </w:r>
      <w:r>
        <w:rPr>
          <w:rFonts w:hint="eastAsia" w:ascii="宋体" w:hAnsi="宋体"/>
          <w:bCs/>
          <w:color w:val="auto"/>
          <w:szCs w:val="21"/>
          <w:highlight w:val="none"/>
        </w:rPr>
        <w:t xml:space="preserve">供应商</w:t>
      </w:r>
      <w:r>
        <w:rPr>
          <w:rFonts w:hint="eastAsia" w:ascii="宋体" w:hAnsi="宋体"/>
          <w:color w:val="auto"/>
          <w:highlight w:val="none"/>
        </w:rPr>
        <w:t xml:space="preserve">对要求提供的服务不得部分投标；</w:t>
      </w:r>
      <w:r>
        <w:rPr>
          <w:rFonts w:hint="eastAsia" w:ascii="宋体" w:hAnsi="宋体"/>
          <w:bCs/>
          <w:color w:val="auto"/>
          <w:szCs w:val="21"/>
          <w:highlight w:val="none"/>
        </w:rPr>
        <w:t xml:space="preserve">招标</w:t>
      </w:r>
      <w:r>
        <w:rPr>
          <w:rFonts w:hint="eastAsia" w:ascii="宋体" w:hAnsi="宋体"/>
          <w:color w:val="auto"/>
          <w:highlight w:val="none"/>
        </w:rPr>
        <w:t xml:space="preserve">服务数量及技术要求中已经分包的，应当以包为单位投标。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w:t>
      </w:r>
      <w:r>
        <w:rPr>
          <w:rFonts w:hint="eastAsia" w:ascii="宋体" w:hAnsi="宋体"/>
          <w:color w:val="auto"/>
          <w:highlight w:val="none"/>
          <w:lang w:val="en-US" w:eastAsia="zh-CN"/>
        </w:rPr>
        <w:t xml:space="preserve">3</w:t>
      </w:r>
      <w:r>
        <w:rPr>
          <w:rFonts w:hint="eastAsia" w:ascii="宋体" w:hAnsi="宋体"/>
          <w:color w:val="auto"/>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招标文件的澄清</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7.1 任何要求对招标文件进行澄清的投标人，</w:t>
      </w:r>
      <w:r>
        <w:rPr>
          <w:rFonts w:hint="eastAsia" w:ascii="宋体" w:hAnsi="宋体"/>
          <w:bCs/>
          <w:color w:val="auto"/>
          <w:szCs w:val="21"/>
          <w:highlight w:val="none"/>
        </w:rPr>
        <w:t xml:space="preserve">应在投标截止日期的十日前按招标公告中的通讯地址，以书面形式通知代理机构。</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8</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招标文件的修改</w:t>
      </w:r>
      <w:r/>
    </w:p>
    <w:p>
      <w:pPr>
        <w:ind w:firstLine="420"/>
        <w:spacing w:line="360" w:lineRule="auto"/>
        <w:rPr>
          <w:rFonts w:hint="eastAsia" w:ascii="宋体" w:hAnsi="宋体"/>
          <w:bCs/>
          <w:color w:val="auto"/>
          <w:szCs w:val="21"/>
          <w:highlight w:val="none"/>
        </w:rPr>
      </w:pPr>
      <w:r>
        <w:rPr>
          <w:rFonts w:hint="eastAsia" w:ascii="宋体" w:hAnsi="宋体"/>
          <w:color w:val="auto"/>
          <w:highlight w:val="none"/>
        </w:rPr>
        <w:t xml:space="preserve">8.1 </w:t>
      </w:r>
      <w:r>
        <w:rPr>
          <w:rFonts w:hint="eastAsia" w:ascii="宋体" w:hAnsi="宋体"/>
          <w:bCs/>
          <w:color w:val="auto"/>
          <w:szCs w:val="21"/>
          <w:highlight w:val="none"/>
        </w:rPr>
        <w:t xml:space="preserve">在投标截止时间前，代理机构可以对招标文件进行修改。</w:t>
      </w:r>
      <w:r/>
    </w:p>
    <w:p>
      <w:pPr>
        <w:ind w:firstLine="420"/>
        <w:spacing w:line="360" w:lineRule="auto"/>
        <w:rPr>
          <w:rFonts w:hint="eastAsia"/>
          <w:color w:val="auto"/>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8.3招标文件的修改将在“仪征市政府采购网”、“扬州市政府采购网”、“</w:t>
      </w:r>
      <w:r>
        <w:rPr>
          <w:rFonts w:hint="eastAsia" w:ascii="宋体" w:hAnsi="宋体"/>
          <w:color w:val="auto"/>
          <w:highlight w:val="none"/>
          <w:lang w:eastAsia="zh-CN"/>
        </w:rPr>
        <w:t xml:space="preserve">江苏政府采购网</w:t>
      </w:r>
      <w:r>
        <w:rPr>
          <w:rFonts w:hint="eastAsia" w:ascii="宋体" w:hAnsi="宋体"/>
          <w:color w:val="auto"/>
          <w:highlight w:val="none"/>
        </w:rPr>
        <w:t xml:space="preserve">”</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中国政府采购网</w:t>
      </w:r>
      <w:r>
        <w:rPr>
          <w:rFonts w:hint="eastAsia" w:ascii="宋体" w:hAnsi="宋体"/>
          <w:color w:val="auto"/>
          <w:highlight w:val="none"/>
          <w:lang w:eastAsia="zh-CN"/>
        </w:rPr>
        <w:t xml:space="preserve">”</w:t>
      </w:r>
      <w:r>
        <w:rPr>
          <w:rFonts w:hint="eastAsia" w:ascii="宋体" w:hAnsi="宋体"/>
          <w:color w:val="auto"/>
          <w:highlight w:val="none"/>
        </w:rPr>
        <w:t xml:space="preserve">公布，补充文件将作为招标文件的组成部分，并对投标人具有约束力。</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9、投标文件的语言、度量衡单位</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9.2 除技术性能另有规定外，投标文件所使用的度量衡单位，均须采用国家法定计量单位。</w:t>
      </w:r>
      <w:r/>
    </w:p>
    <w:p>
      <w:pPr>
        <w:pStyle w:val="876"/>
        <w:numPr>
          <w:ilvl w:val="0"/>
          <w:numId w:val="2"/>
        </w:numPr>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投标文件构成</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11、证明投标人资格及符合招标文件规定的文件</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11.1 投标人应按照法律、法规、规章和规范性文件以及招标文件要求提交证明文件，证明其及投标标的符合招标文件规定。</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11.2招标文件对证明文件无明确形式要求的，证明文件可以以文字资料、图纸和数据等形式提交。</w:t>
      </w:r>
      <w:r/>
    </w:p>
    <w:p>
      <w:pPr>
        <w:pStyle w:val="876"/>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w:t>
      </w:r>
      <w:r>
        <w:rPr>
          <w:rFonts w:hint="eastAsia" w:ascii="宋体" w:hAnsi="宋体" w:eastAsia="宋体"/>
          <w:color w:val="auto"/>
          <w:sz w:val="21"/>
          <w:szCs w:val="21"/>
          <w:highlight w:val="none"/>
          <w:lang w:val="en-US" w:eastAsia="zh-CN"/>
        </w:rPr>
        <w:t xml:space="preserve">投标</w:t>
      </w:r>
      <w:r>
        <w:rPr>
          <w:rFonts w:hint="eastAsia" w:ascii="宋体" w:hAnsi="宋体" w:eastAsia="宋体"/>
          <w:color w:val="auto"/>
          <w:sz w:val="21"/>
          <w:szCs w:val="21"/>
          <w:highlight w:val="none"/>
        </w:rPr>
        <w:t xml:space="preserve">分项报价表</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12.1 投</w:t>
      </w:r>
      <w:bookmarkStart w:id="42" w:name="_Hlt26954840"/>
      <w:r/>
      <w:bookmarkEnd w:id="42"/>
      <w:r>
        <w:rPr>
          <w:rFonts w:hint="eastAsia" w:ascii="宋体" w:hAnsi="宋体" w:eastAsia="宋体" w:cs="Times New Roman"/>
          <w:color w:val="auto"/>
          <w:highlight w:val="none"/>
        </w:rPr>
        <w:t xml:space="preserve">标人应按照招标文件规定格式填报投标分项报价表</w:t>
      </w:r>
      <w:bookmarkStart w:id="43" w:name="_Hlt26670399"/>
      <w:r/>
      <w:bookmarkEnd w:id="43"/>
      <w:r>
        <w:rPr>
          <w:rFonts w:hint="eastAsia" w:ascii="宋体" w:hAnsi="宋体" w:eastAsia="宋体" w:cs="Times New Roman"/>
          <w:color w:val="auto"/>
          <w:highlight w:val="none"/>
        </w:rPr>
        <w:t xml:space="preserve">。</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12.2投标货币。投标文件中的单价和总价无特殊规定的采用人民币报价，以元为单位标注。招标文件中另有规定的按规定执行。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13、技术要求响应及偏离表、商务要求响应及偏离表</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13.1 投标人需对招标文件中的技术要求与商务要求逐项作出响应或偏离，并说明原因。</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13.2 投标人可在投标文件中提供认为需要的其他技术文件或说明。</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14、投标函和开标一览表</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14.1 投标人应按照招标文件中提供的格式完整、正确填写投标函、开标一览表。</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、投标有效期</w:t>
      </w:r>
      <w:r/>
    </w:p>
    <w:p>
      <w:pPr>
        <w:ind w:firstLine="420"/>
        <w:spacing w:line="360" w:lineRule="auto"/>
        <w:rPr>
          <w:rFonts w:ascii="宋体" w:hAnsi="宋体"/>
          <w:bCs/>
          <w:color w:val="auto"/>
          <w:szCs w:val="21"/>
          <w:highlight w:val="none"/>
        </w:rPr>
      </w:pPr>
      <w:r/>
      <w:bookmarkStart w:id="44" w:name="_Toc16938541"/>
      <w:r/>
      <w:bookmarkStart w:id="45" w:name="_Toc20823297"/>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.1 投标有效期为招标代理机构规定的开标之日后</w:t>
      </w:r>
      <w:r>
        <w:rPr>
          <w:rFonts w:hint="eastAsia" w:ascii="宋体" w:hAnsi="宋体"/>
          <w:b/>
          <w:bCs w:val="0"/>
          <w:color w:val="auto"/>
          <w:szCs w:val="21"/>
          <w:highlight w:val="none"/>
          <w:u w:val="single"/>
        </w:rPr>
        <w:t xml:space="preserve">六十（60）天</w:t>
      </w:r>
      <w:r>
        <w:rPr>
          <w:rFonts w:hint="eastAsia" w:ascii="宋体" w:hAnsi="宋体"/>
          <w:bCs/>
          <w:color w:val="auto"/>
          <w:szCs w:val="21"/>
          <w:highlight w:val="none"/>
        </w:rPr>
        <w:t xml:space="preserve">。投标有效期比规定短的将被视为未实质性响应招标文件而予以拒绝。</w:t>
      </w:r>
      <w:r/>
    </w:p>
    <w:p>
      <w:pPr>
        <w:pStyle w:val="876"/>
        <w:ind w:firstLine="422"/>
        <w:spacing w:before="0" w:after="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16、投标有效期的延长</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、投标文件</w:t>
      </w:r>
      <w:bookmarkEnd w:id="44"/>
      <w:r/>
      <w:bookmarkEnd w:id="45"/>
      <w:r>
        <w:rPr>
          <w:rFonts w:hint="eastAsia" w:ascii="宋体" w:hAnsi="宋体" w:eastAsia="宋体"/>
          <w:color w:val="auto"/>
          <w:sz w:val="21"/>
          <w:szCs w:val="21"/>
          <w:highlight w:val="none"/>
        </w:rPr>
        <w:t xml:space="preserve">的递交</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7</w:t>
      </w:r>
      <w:r>
        <w:rPr>
          <w:rFonts w:hint="eastAsia" w:ascii="宋体" w:hAnsi="宋体"/>
          <w:color w:val="auto"/>
          <w:highlight w:val="none"/>
        </w:rPr>
        <w:t xml:space="preserve">.1 电子投标文件的递交</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投标人应当按照《操作手册》规定，在投标截止时间前制作并上传电子投标文件。</w:t>
      </w:r>
      <w:bookmarkStart w:id="46" w:name="_Toc20823298"/>
      <w:r/>
      <w:bookmarkStart w:id="47" w:name="_Toc16938542"/>
      <w:r/>
      <w:r/>
    </w:p>
    <w:p>
      <w:pPr>
        <w:pStyle w:val="931"/>
        <w:ind w:firstLine="422"/>
        <w:rPr>
          <w:rFonts w:hint="eastAsia" w:ascii="宋体" w:hAnsi="宋体"/>
          <w:bCs/>
          <w:color w:val="auto"/>
          <w:sz w:val="24"/>
          <w:highlight w:val="none"/>
        </w:rPr>
      </w:pPr>
      <w:r>
        <w:rPr>
          <w:rFonts w:hint="eastAsia" w:ascii="宋体" w:hAnsi="宋体"/>
          <w:b/>
          <w:bCs/>
          <w:color w:val="auto"/>
          <w:highlight w:val="none"/>
        </w:rPr>
        <w:t xml:space="preserve">1</w:t>
      </w:r>
      <w:r>
        <w:rPr>
          <w:rFonts w:hint="eastAsia" w:ascii="宋体" w:hAnsi="宋体"/>
          <w:b/>
          <w:bCs/>
          <w:color w:val="auto"/>
          <w:highlight w:val="none"/>
          <w:lang w:val="en-US" w:eastAsia="zh-CN"/>
        </w:rPr>
        <w:t xml:space="preserve">8</w:t>
      </w:r>
      <w:r>
        <w:rPr>
          <w:rFonts w:hint="eastAsia" w:ascii="宋体" w:hAnsi="宋体"/>
          <w:b/>
          <w:bCs/>
          <w:color w:val="auto"/>
          <w:highlight w:val="none"/>
        </w:rPr>
        <w:t xml:space="preserve">、投标截止日期</w:t>
      </w:r>
      <w:bookmarkEnd w:id="46"/>
      <w:r/>
      <w:bookmarkEnd w:id="47"/>
      <w:r/>
      <w:r/>
    </w:p>
    <w:p>
      <w:pPr>
        <w:ind w:firstLine="420"/>
        <w:spacing w:line="500" w:lineRule="exact"/>
        <w:rPr>
          <w:rFonts w:hint="eastAsia" w:ascii="宋体" w:hAnsi="宋体"/>
          <w:bCs/>
          <w:i/>
          <w:color w:val="auto"/>
          <w:szCs w:val="21"/>
          <w:highlight w:val="none"/>
          <w:u w:val="single"/>
        </w:rPr>
      </w:pPr>
      <w:r>
        <w:rPr>
          <w:rFonts w:hint="eastAsia" w:ascii="宋体" w:hAnsi="宋体"/>
          <w:i/>
          <w:color w:val="auto"/>
          <w:szCs w:val="21"/>
          <w:highlight w:val="none"/>
          <w:u w:val="single"/>
        </w:rPr>
        <w:t xml:space="preserve">18.1</w:t>
      </w:r>
      <w:r>
        <w:rPr>
          <w:rFonts w:hint="eastAsia" w:ascii="宋体" w:hAnsi="宋体"/>
          <w:bCs/>
          <w:i/>
          <w:color w:val="auto"/>
          <w:szCs w:val="21"/>
          <w:highlight w:val="none"/>
          <w:u w:val="single"/>
        </w:rPr>
        <w:t xml:space="preserve"> </w:t>
      </w:r>
      <w:r>
        <w:rPr>
          <w:rFonts w:hint="eastAsia" w:ascii="宋体" w:hAnsi="宋体"/>
          <w:bCs/>
          <w:i/>
          <w:iCs/>
          <w:color w:val="auto"/>
          <w:szCs w:val="21"/>
          <w:highlight w:val="none"/>
          <w:u w:val="single"/>
        </w:rPr>
        <w:t xml:space="preserve">投标人上传电子投标文件的时间不得迟于招标公告中规定的投标截止时间。</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876"/>
        <w:ind w:firstLine="422"/>
        <w:spacing w:before="0" w:after="0" w:line="360" w:lineRule="auto"/>
        <w:rPr>
          <w:rFonts w:hint="eastAsia" w:ascii="宋体" w:hAnsi="宋体" w:eastAsia="宋体"/>
          <w:color w:val="auto"/>
          <w:sz w:val="21"/>
          <w:szCs w:val="21"/>
          <w:highlight w:val="none"/>
        </w:rPr>
      </w:pPr>
      <w:r/>
      <w:bookmarkStart w:id="48" w:name="_Toc16938543"/>
      <w:r/>
      <w:bookmarkStart w:id="49" w:name="_Toc20823299"/>
      <w:r>
        <w:rPr>
          <w:rFonts w:hint="eastAsia" w:ascii="宋体" w:hAnsi="宋体" w:eastAsia="宋体"/>
          <w:color w:val="auto"/>
          <w:sz w:val="21"/>
          <w:szCs w:val="21"/>
          <w:highlight w:val="none"/>
        </w:rPr>
        <w:t xml:space="preserve">19、投标文件</w:t>
      </w:r>
      <w:bookmarkEnd w:id="48"/>
      <w:r/>
      <w:bookmarkEnd w:id="49"/>
      <w:r>
        <w:rPr>
          <w:rFonts w:hint="eastAsia" w:ascii="宋体" w:hAnsi="宋体" w:eastAsia="宋体"/>
          <w:color w:val="auto"/>
          <w:sz w:val="21"/>
          <w:szCs w:val="21"/>
          <w:highlight w:val="none"/>
        </w:rPr>
        <w:t xml:space="preserve">的拒收</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19.1代理机构拒绝接收在其规定的投标截止时间后上传的任何投标文件。</w:t>
      </w:r>
      <w:r/>
    </w:p>
    <w:p>
      <w:pPr>
        <w:pStyle w:val="876"/>
        <w:ind w:firstLine="422"/>
        <w:spacing w:before="0" w:after="0" w:line="360" w:lineRule="auto"/>
        <w:rPr>
          <w:rFonts w:hint="eastAsia" w:ascii="宋体" w:hAnsi="宋体" w:eastAsia="宋体"/>
          <w:color w:val="auto"/>
          <w:sz w:val="21"/>
          <w:szCs w:val="21"/>
          <w:highlight w:val="none"/>
        </w:rPr>
      </w:pPr>
      <w:r/>
      <w:bookmarkStart w:id="50" w:name="_Toc20823300"/>
      <w:r/>
      <w:bookmarkStart w:id="51" w:name="_Toc16938544"/>
      <w:r>
        <w:rPr>
          <w:rFonts w:hint="eastAsia" w:ascii="宋体" w:hAnsi="宋体" w:eastAsia="宋体"/>
          <w:color w:val="auto"/>
          <w:sz w:val="21"/>
          <w:szCs w:val="21"/>
          <w:highlight w:val="none"/>
        </w:rPr>
        <w:t xml:space="preserve">20、投标文件的撤回和修改</w:t>
      </w:r>
      <w:bookmarkEnd w:id="50"/>
      <w:r/>
      <w:bookmarkEnd w:id="51"/>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20.1 投标文件的撤回</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20.1.1 电子投标文件的撤回</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投标人可在投标截止时间前，撤回其电子投标文件，具体操作方法见《操作手册》。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20.1.2 投标人撤回电子投标文件，则认为其不再参与本项目投标活动。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20.2 投标文件的修改</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投标人可在投标截止时间前，对其电子投标文件进行修改，具体操作方法见《操作手册》。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20.3 在投标截止时间之后，投标人不得对其电子投标文件作任何修改。</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20.4 在投标截止时间至招标文件中规定的投标有效期满之间的这段时间内，投标人不得撤回其投标。</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21.2开标仪式由</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组织。苏采云系统将自动对项目进行开标，并宣布各投标人名称和投标价格。</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21.3投标人在开标过程中涉及到的投标文件解密、开标结果确认等工作，应按照《操作手册》规定执行。</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21.4投标人如果对开标过程和开标记录有疑义，应当根据《操作手册》规定提出，如苏采云系统中《开标记录表》宣布后5分钟内未提出的，视同认可开标结果。</w:t>
      </w:r>
      <w:r/>
    </w:p>
    <w:p>
      <w:pPr>
        <w:pStyle w:val="876"/>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
          <w:bCs/>
          <w:color w:val="auto"/>
          <w:highlight w:val="none"/>
        </w:rPr>
        <w:t xml:space="preserve">  </w:t>
      </w:r>
      <w:r>
        <w:rPr>
          <w:rFonts w:hint="eastAsia" w:ascii="宋体" w:hAnsi="宋体"/>
          <w:color w:val="auto"/>
          <w:highlight w:val="none"/>
        </w:rPr>
        <w:t xml:space="preserve">  </w:t>
      </w:r>
      <w:r>
        <w:rPr>
          <w:rFonts w:hint="eastAsia" w:ascii="宋体" w:hAnsi="宋体"/>
          <w:bCs/>
          <w:color w:val="auto"/>
          <w:szCs w:val="21"/>
          <w:highlight w:val="none"/>
        </w:rPr>
        <w:t xml:space="preserve">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color w:val="auto"/>
          <w:highlight w:val="none"/>
        </w:rPr>
      </w:pPr>
      <w:r>
        <w:rPr>
          <w:rFonts w:hint="eastAsia" w:ascii="宋体" w:hAnsi="宋体"/>
          <w:bCs/>
          <w:color w:val="auto"/>
          <w:szCs w:val="21"/>
          <w:highlight w:val="none"/>
        </w:rPr>
        <w:t xml:space="preserve">    22.3评委会独立工作，负责评审所有投标文件并确定中标候选人。</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23.1凡是与审查、澄清、评价和比较投标的有关资料以及授标建议等，采购人、评委、</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23.3 </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和评标委员会不向未中标的投标人解释未中标原因，也不公布评标过程中的相关细节。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23.4 采用综合评分法的项目，未中标的投标人可于中标结果公告期限届满之日起通过苏采云系统查看自己的评审得分及排序情况。</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24、投标</w:t>
      </w:r>
      <w:r>
        <w:rPr>
          <w:rFonts w:hint="eastAsia" w:ascii="宋体" w:hAnsi="宋体" w:eastAsia="宋体"/>
          <w:color w:val="auto"/>
          <w:sz w:val="21"/>
          <w:szCs w:val="21"/>
          <w:highlight w:val="none"/>
          <w:lang w:val="en-US" w:eastAsia="zh-CN"/>
        </w:rPr>
        <w:t xml:space="preserve">文件</w:t>
      </w:r>
      <w:r>
        <w:rPr>
          <w:rFonts w:hint="eastAsia" w:ascii="宋体" w:hAnsi="宋体" w:eastAsia="宋体"/>
          <w:color w:val="auto"/>
          <w:sz w:val="21"/>
          <w:szCs w:val="21"/>
          <w:highlight w:val="none"/>
        </w:rPr>
        <w:t xml:space="preserve">的澄清</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24.1评标期间，评委会对投标文件中含义不明确、同类问题表述不一致或者有明显文字和计算错误的内容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bCs/>
          <w:color w:val="auto"/>
          <w:szCs w:val="21"/>
          <w:highlight w:val="none"/>
        </w:rPr>
        <w:t xml:space="preserve">24.3 接到评委会澄清、说明和补正要求的投标人如未按规定做出澄清、说明和补正，其风险由投标人自行承担。</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25.</w:t>
      </w:r>
      <w:r>
        <w:rPr>
          <w:rFonts w:hint="eastAsia" w:ascii="宋体" w:hAnsi="宋体"/>
          <w:color w:val="auto"/>
          <w:highlight w:val="none"/>
          <w:lang w:val="en-US" w:eastAsia="zh-CN"/>
        </w:rPr>
        <w:t xml:space="preserve">6</w:t>
      </w:r>
      <w:r>
        <w:rPr>
          <w:rFonts w:hint="eastAsia" w:ascii="宋体" w:hAnsi="宋体"/>
          <w:color w:val="auto"/>
          <w:highlight w:val="none"/>
        </w:rPr>
        <w:t xml:space="preserve"> 投标人在开、评标全过程中应保持通讯畅通，及时登录苏采云系统查阅、答复相关信息，并安排专人与</w:t>
      </w:r>
      <w:r>
        <w:rPr>
          <w:rFonts w:hint="eastAsia" w:ascii="宋体" w:hAnsi="宋体"/>
          <w:color w:val="auto"/>
          <w:highlight w:val="none"/>
          <w:lang w:val="en-US" w:eastAsia="zh-CN"/>
        </w:rPr>
        <w:t xml:space="preserve">代理机构</w:t>
      </w:r>
      <w:r>
        <w:rPr>
          <w:rFonts w:hint="eastAsia" w:ascii="宋体" w:hAnsi="宋体"/>
          <w:color w:val="auto"/>
          <w:highlight w:val="none"/>
        </w:rPr>
        <w:t xml:space="preserve">及评标委员会联系。</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26、无效投标条款和废标条款</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26.1无效投标条款</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26.1.1 投标人在苏采云系统规定的时间内未成功解密电子投标文件的。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26.1.2 投标人未按照招标文件要求上传电子投标文件的。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26.1.3同一投标人提交两个（含两个）以上不同的投标报价的。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26.1.4投标人不具备招标文件中规定资格要求的。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26.1.5投标人的报价超过了采购预算或最高限价的。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26.1.6未通过符合性审查的。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26.1.7不符合招标文件中规定的其他实质性要求和条件的</w:t>
      </w:r>
      <w:r>
        <w:rPr>
          <w:rFonts w:hint="eastAsia" w:ascii="宋体" w:hAnsi="宋体" w:eastAsia="宋体"/>
          <w:b w:val="0"/>
          <w:bCs w:val="0"/>
          <w:i/>
          <w:iCs/>
          <w:color w:val="auto"/>
          <w:sz w:val="21"/>
          <w:szCs w:val="21"/>
          <w:highlight w:val="none"/>
          <w:u w:val="single"/>
        </w:rPr>
        <w:t xml:space="preserve">（本招标文件中斜体且有下划线部分为实质性要求和条件）。</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被</w:t>
      </w:r>
      <w:r>
        <w:rPr>
          <w:rFonts w:hint="eastAsia" w:ascii="宋体" w:hAnsi="宋体" w:eastAsia="宋体"/>
          <w:b w:val="0"/>
          <w:bCs w:val="0"/>
          <w:color w:val="auto"/>
          <w:sz w:val="21"/>
          <w:szCs w:val="21"/>
          <w:highlight w:val="none"/>
        </w:rPr>
        <w:t xml:space="preserve">“中国政府采购网"(www.ccgp.gov.cn)</w:t>
      </w:r>
      <w:r>
        <w:rPr>
          <w:rFonts w:hint="eastAsia" w:ascii="宋体" w:hAnsi="宋体" w:eastAsia="宋体"/>
          <w:b w:val="0"/>
          <w:bCs w:val="0"/>
          <w:color w:val="auto"/>
          <w:sz w:val="21"/>
          <w:szCs w:val="21"/>
          <w:highlight w:val="none"/>
          <w:lang w:val="en-US" w:eastAsia="zh-CN"/>
        </w:rPr>
        <w:t xml:space="preserve">列入政府采购严重失信行为记录名单，</w:t>
      </w:r>
      <w:r>
        <w:rPr>
          <w:rFonts w:hint="eastAsia" w:ascii="宋体" w:hAnsi="宋体" w:eastAsia="宋体"/>
          <w:b w:val="0"/>
          <w:bCs w:val="0"/>
          <w:color w:val="auto"/>
          <w:sz w:val="21"/>
          <w:szCs w:val="21"/>
          <w:highlight w:val="none"/>
        </w:rPr>
        <w:t xml:space="preserve">或查询“信用中国”网站后发现投标人存在其他不符合《中华人民共和国政府采购法》第二十二条规定条件的信用记录。</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26.1.9  投标文件含有采购人不能接受的附加条件的。</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异常低价投标</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1投标报价低于全部通过符合性审查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投标报价平均值50</w:t>
      </w:r>
      <w:r>
        <w:rPr>
          <w:rFonts w:hint="eastAsia" w:ascii="宋体" w:hAnsi="宋体" w:eastAsia="宋体"/>
          <w:b/>
          <w:bCs/>
          <w:color w:val="ff0000"/>
          <w:sz w:val="21"/>
          <w:szCs w:val="21"/>
          <w:highlight w:val="none"/>
        </w:rPr>
        <w:t xml:space="preserve">%的，即投标报价&lt;全部通过符合性审查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50</w:t>
      </w:r>
      <w:r>
        <w:rPr>
          <w:rFonts w:hint="eastAsia" w:ascii="宋体" w:hAnsi="宋体" w:eastAsia="宋体"/>
          <w:b/>
          <w:bCs/>
          <w:color w:val="ff0000"/>
          <w:sz w:val="21"/>
          <w:szCs w:val="21"/>
          <w:highlight w:val="none"/>
        </w:rPr>
        <w:t xml:space="preserve">%；</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2投标报价低于通过符合性审查的次低报价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50</w:t>
      </w:r>
      <w:r>
        <w:rPr>
          <w:rFonts w:hint="eastAsia" w:ascii="宋体" w:hAnsi="宋体" w:eastAsia="宋体"/>
          <w:b/>
          <w:bCs/>
          <w:color w:val="ff0000"/>
          <w:sz w:val="21"/>
          <w:szCs w:val="21"/>
          <w:highlight w:val="none"/>
        </w:rPr>
        <w:t xml:space="preserve">%的，即投标报价&lt;通过符合性审查的次低报价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投标报价×50</w:t>
      </w:r>
      <w:r>
        <w:rPr>
          <w:rFonts w:hint="eastAsia" w:ascii="宋体" w:hAnsi="宋体" w:eastAsia="宋体"/>
          <w:b/>
          <w:bCs/>
          <w:color w:val="ff0000"/>
          <w:sz w:val="21"/>
          <w:szCs w:val="21"/>
          <w:highlight w:val="none"/>
        </w:rPr>
        <w:t xml:space="preserve">%；</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投标报价低于采购项目最高限价45</w:t>
      </w:r>
      <w:r>
        <w:rPr>
          <w:rFonts w:hint="eastAsia" w:ascii="宋体" w:hAnsi="宋体" w:eastAsia="宋体"/>
          <w:b/>
          <w:bCs/>
          <w:color w:val="ff0000"/>
          <w:sz w:val="21"/>
          <w:szCs w:val="21"/>
          <w:highlight w:val="none"/>
        </w:rPr>
        <w:t xml:space="preserve">%的，即投标报价&lt;采购项目最高限价×45</w:t>
      </w:r>
      <w:r>
        <w:rPr>
          <w:rFonts w:hint="eastAsia" w:ascii="宋体" w:hAnsi="宋体" w:eastAsia="宋体"/>
          <w:b/>
          <w:bCs/>
          <w:color w:val="ff0000"/>
          <w:sz w:val="21"/>
          <w:szCs w:val="21"/>
          <w:highlight w:val="none"/>
        </w:rPr>
        <w:t xml:space="preserve">%；</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评审委员会基于专业判断，认为</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报价过低，有可能影响产品质量或者不能诚信履约的其他情形。</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26.1.10.5</w:t>
      </w:r>
      <w:r>
        <w:rPr>
          <w:rFonts w:hint="eastAsia" w:ascii="宋体" w:hAnsi="宋体" w:eastAsia="宋体"/>
          <w:b/>
          <w:bCs/>
          <w:color w:val="ff0000"/>
          <w:sz w:val="21"/>
          <w:szCs w:val="21"/>
          <w:highlight w:val="none"/>
        </w:rPr>
        <w:t xml:space="preserve">相关法律法规对</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报价有规定的，从其规定。</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26.1.10.6</w:t>
      </w:r>
      <w:r>
        <w:rPr>
          <w:rFonts w:hint="eastAsia" w:ascii="宋体" w:hAnsi="宋体" w:eastAsia="宋体"/>
          <w:b/>
          <w:bCs/>
          <w:color w:val="ff0000"/>
          <w:sz w:val="21"/>
          <w:szCs w:val="21"/>
          <w:highlight w:val="none"/>
        </w:rPr>
        <w:t xml:space="preserve">评审委员会启动异常低价投标审查后，属于前述第</w:t>
      </w: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1项至第</w:t>
      </w: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项情形的，应当要求相关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的合理时间一般不少于30分钟。其中，属于第</w:t>
      </w: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项情形，</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已随投标文件一并提交相关书面说明及必要的证明材料的，在评审现场可不再重复提交。</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26.1.10.7</w:t>
      </w:r>
      <w:r>
        <w:rPr>
          <w:rFonts w:hint="eastAsia" w:ascii="宋体" w:hAnsi="宋体" w:eastAsia="宋体"/>
          <w:b/>
          <w:bCs/>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不能提供书面说明、证明材料，或者提供的书面说明、证明材料不能证明其报价合理性的，评审委员会应当将其作为无效投标处理。</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26.1.10.8</w:t>
      </w:r>
      <w:r>
        <w:rPr>
          <w:rFonts w:hint="eastAsia" w:ascii="宋体" w:hAnsi="宋体" w:eastAsia="宋体"/>
          <w:b/>
          <w:bCs/>
          <w:color w:val="ff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26.1.10.9</w:t>
      </w:r>
      <w:r>
        <w:rPr>
          <w:rFonts w:hint="eastAsia" w:ascii="宋体" w:hAnsi="宋体" w:eastAsia="宋体"/>
          <w:b/>
          <w:bCs/>
          <w:color w:val="ff0000"/>
          <w:sz w:val="21"/>
          <w:szCs w:val="21"/>
          <w:highlight w:val="none"/>
        </w:rPr>
        <w:t xml:space="preserve">异常低价投标审查的启动原因、审查意见和审查结果应当在评审报告中记录，并随</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提供的相关书面说明及证明材料，以及评审委员会有关互联网浏览、查询历史一并归档。</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auto"/>
          <w:szCs w:val="21"/>
          <w:highlight w:val="none"/>
          <w:lang w:val="en-US" w:eastAsia="zh-CN"/>
        </w:rPr>
        <w:t xml:space="preserve">原件扫描件</w:t>
      </w:r>
      <w:r>
        <w:rPr>
          <w:rFonts w:hint="eastAsia" w:ascii="宋体" w:hAnsi="宋体"/>
          <w:bCs/>
          <w:color w:val="auto"/>
          <w:szCs w:val="21"/>
          <w:highlight w:val="none"/>
        </w:rPr>
        <w:t xml:space="preserve">）</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2 </w:t>
      </w:r>
      <w:r>
        <w:rPr>
          <w:rFonts w:hint="eastAsia" w:ascii="宋体" w:hAnsi="宋体"/>
          <w:bCs/>
          <w:color w:val="auto"/>
          <w:szCs w:val="21"/>
          <w:highlight w:val="none"/>
        </w:rPr>
        <w:t xml:space="preserve">投标文件未按照招标文件要求加盖</w:t>
      </w:r>
      <w:r>
        <w:rPr>
          <w:rFonts w:hint="eastAsia" w:ascii="宋体" w:hAnsi="宋体"/>
          <w:bCs/>
          <w:color w:val="auto"/>
          <w:szCs w:val="21"/>
          <w:highlight w:val="none"/>
          <w:lang w:val="en-US" w:eastAsia="zh-CN"/>
        </w:rPr>
        <w:t xml:space="preserve">CA</w:t>
      </w:r>
      <w:r>
        <w:rPr>
          <w:rFonts w:hint="eastAsia" w:ascii="宋体" w:hAnsi="宋体"/>
          <w:bCs/>
          <w:color w:val="auto"/>
          <w:szCs w:val="21"/>
          <w:highlight w:val="none"/>
        </w:rPr>
        <w:t xml:space="preserve">电子</w:t>
      </w:r>
      <w:r>
        <w:rPr>
          <w:rFonts w:hint="eastAsia" w:ascii="宋体" w:hAnsi="宋体"/>
          <w:bCs/>
          <w:color w:val="auto"/>
          <w:szCs w:val="21"/>
          <w:highlight w:val="none"/>
          <w:lang w:val="en-US" w:eastAsia="zh-CN"/>
        </w:rPr>
        <w:t xml:space="preserve">公章的</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3 </w:t>
      </w:r>
      <w:r>
        <w:rPr>
          <w:rFonts w:hint="eastAsia" w:ascii="宋体" w:hAnsi="宋体"/>
          <w:bCs/>
          <w:color w:val="auto"/>
          <w:szCs w:val="21"/>
          <w:highlight w:val="none"/>
        </w:rPr>
        <w:t xml:space="preserve">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pStyle w:val="876"/>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26.2.1符合专业条件的供应商或者对招标文件作实质响应的供应商不足三家的。</w:t>
      </w:r>
      <w:r/>
    </w:p>
    <w:p>
      <w:pPr>
        <w:pStyle w:val="876"/>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26.2.2出现影响采购公正的违法、违规行为的。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pStyle w:val="876"/>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27.1中标候选人的选取原则和数量见招标文件第五章规定。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27.3代理机构将在“仪征市政府采购网”、“扬州市政府采购网”、“</w:t>
      </w:r>
      <w:r>
        <w:rPr>
          <w:rFonts w:hint="eastAsia" w:ascii="宋体" w:hAnsi="宋体"/>
          <w:bCs/>
          <w:color w:val="auto"/>
          <w:szCs w:val="21"/>
          <w:highlight w:val="none"/>
          <w:lang w:eastAsia="zh-CN"/>
        </w:rPr>
        <w:t xml:space="preserve">江苏政府采购网</w:t>
      </w:r>
      <w:r>
        <w:rPr>
          <w:rFonts w:hint="eastAsia" w:ascii="宋体" w:hAnsi="宋体"/>
          <w:bCs/>
          <w:color w:val="auto"/>
          <w:szCs w:val="21"/>
          <w:highlight w:val="none"/>
        </w:rPr>
        <w:t xml:space="preserve">”</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2"/>
        <w:spacing w:line="360" w:lineRule="auto"/>
        <w:rPr>
          <w:rFonts w:hint="eastAsia"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auto"/>
          <w:szCs w:val="21"/>
          <w:highlight w:val="none"/>
          <w:lang w:val="en-US" w:eastAsia="zh-CN"/>
        </w:rPr>
        <w:t xml:space="preserve">代理机构</w:t>
      </w:r>
      <w:r>
        <w:rPr>
          <w:rFonts w:hint="eastAsia" w:ascii="宋体" w:hAnsi="宋体"/>
          <w:bCs/>
          <w:color w:val="auto"/>
          <w:szCs w:val="21"/>
          <w:highlight w:val="none"/>
        </w:rPr>
        <w:t xml:space="preserve">或采购人提出质疑。上述应知其权益受到损害之日，是指：</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28.2.1对采购文件提出质疑的，为收到采购文件之日或者采购文件公告期限届满之日；</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28.2.2对采购过程提出质疑的，为各采购程序环节结束之日</w:t>
      </w:r>
      <w:r>
        <w:rPr>
          <w:rFonts w:hint="eastAsia" w:ascii="宋体" w:hAnsi="宋体"/>
          <w:bCs/>
          <w:color w:val="auto"/>
          <w:szCs w:val="21"/>
          <w:highlight w:val="none"/>
          <w:lang w:eastAsia="zh-CN"/>
        </w:rPr>
        <w:t xml:space="preserve">；</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28.2.3对中标或者成交结果提出质疑的，为中标或者成交结果公告期限届满之日</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 代理机构及采购人只接收以纸质原件形式送达的质疑。</w:t>
      </w:r>
      <w:r>
        <w:rPr>
          <w:rFonts w:hint="eastAsia" w:ascii="宋体" w:hAnsi="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28.5</w:t>
      </w: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30、签订合同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签订合同后，</w:t>
      </w:r>
      <w:r>
        <w:rPr>
          <w:rFonts w:hint="eastAsia" w:ascii="宋体" w:hAnsi="宋体"/>
          <w:bCs/>
          <w:i/>
          <w:iCs/>
          <w:color w:val="auto"/>
          <w:szCs w:val="21"/>
          <w:highlight w:val="none"/>
          <w:u w:val="single"/>
        </w:rPr>
        <w:t xml:space="preserve">中标人不得将合同标的进行转包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876"/>
        <w:ind w:firstLine="422"/>
        <w:spacing w:before="0" w:after="0"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31</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其他</w:t>
      </w:r>
      <w:r/>
    </w:p>
    <w:p>
      <w:pPr>
        <w:ind w:firstLine="420"/>
        <w:jc w:val="both"/>
        <w:keepLines w:val="0"/>
        <w:keepNext w:val="0"/>
        <w:pageBreakBefore w:val="0"/>
        <w:spacing w:line="360" w:lineRule="auto"/>
        <w:widowControl w:val="off"/>
        <w:rPr>
          <w:rFonts w:hint="eastAsia"/>
          <w:color w:val="auto"/>
          <w:highlight w:val="none"/>
        </w:rPr>
      </w:pPr>
      <w:r>
        <w:rPr>
          <w:rFonts w:hint="eastAsia" w:ascii="宋体" w:hAnsi="宋体" w:eastAsia="宋体" w:cs="Times New Roman"/>
          <w:bCs/>
          <w:color w:val="auto"/>
          <w:szCs w:val="21"/>
          <w:highlight w:val="none"/>
        </w:rPr>
        <w:t xml:space="preserve">31.1</w:t>
      </w:r>
      <w:r>
        <w:rPr>
          <w:color w:val="auto"/>
          <w:highlight w:val="none"/>
        </w:rPr>
        <w:t xml:space="preserve">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rPr>
          <w:color w:val="auto"/>
          <w:highlight w:val="none"/>
        </w:rPr>
        <w:sectPr>
          <w:footnotePr/>
          <w:endnotePr/>
          <w:type w:val="nextPage"/>
          <w:pgSz w:w="11906" w:h="16838" w:orient="portrait"/>
          <w:pgMar w:top="1440" w:right="1706" w:bottom="1440" w:left="1800" w:header="851" w:footer="992" w:gutter="0"/>
          <w:cols w:num="1" w:sep="0" w:space="720" w:equalWidth="1"/>
          <w:docGrid w:linePitch="360"/>
        </w:sectPr>
      </w:pPr>
      <w:r>
        <w:rPr>
          <w:color w:val="auto"/>
          <w:highlight w:val="none"/>
        </w:rPr>
      </w:r>
      <w:r/>
    </w:p>
    <w:p>
      <w:pPr>
        <w:pStyle w:val="873"/>
        <w:jc w:val="center"/>
        <w:rPr>
          <w:rFonts w:hint="eastAsia" w:ascii="宋体" w:hAnsi="宋体" w:eastAsia="宋体"/>
          <w:color w:val="auto"/>
          <w:sz w:val="36"/>
          <w:highlight w:val="none"/>
          <w:lang w:eastAsia="zh-CN"/>
        </w:rPr>
      </w:pPr>
      <w:r/>
      <w:bookmarkStart w:id="52" w:name="_Toc501353473"/>
      <w:r/>
      <w:bookmarkStart w:id="53" w:name="_Toc22415"/>
      <w:r>
        <w:rPr>
          <w:rFonts w:hint="eastAsia" w:ascii="宋体" w:hAnsi="宋体"/>
          <w:color w:val="auto"/>
          <w:sz w:val="36"/>
          <w:highlight w:val="none"/>
        </w:rPr>
        <w:t xml:space="preserve">第三章 合同</w:t>
      </w:r>
      <w:bookmarkEnd w:id="52"/>
      <w:r/>
      <w:bookmarkEnd w:id="53"/>
      <w:r>
        <w:rPr>
          <w:rFonts w:hint="eastAsia" w:ascii="宋体" w:hAnsi="宋体"/>
          <w:color w:val="auto"/>
          <w:sz w:val="36"/>
          <w:highlight w:val="none"/>
          <w:lang w:val="en-US" w:eastAsia="zh-CN"/>
        </w:rPr>
        <w:t xml:space="preserve">文本</w:t>
      </w:r>
      <w:r/>
    </w:p>
    <w:p>
      <w:pPr>
        <w:ind w:firstLine="420"/>
        <w:spacing w:after="156" w:line="360" w:lineRule="auto"/>
        <w:rPr>
          <w:rFonts w:ascii="宋体" w:hAnsi="宋体"/>
          <w:bCs/>
          <w:color w:val="auto"/>
          <w:szCs w:val="21"/>
          <w:highlight w:val="none"/>
        </w:rPr>
      </w:pPr>
      <w:r/>
      <w:bookmarkStart w:id="54" w:name="_Hlt16619369"/>
      <w:r/>
      <w:bookmarkEnd w:id="54"/>
      <w:r>
        <w:rPr>
          <w:rFonts w:hint="eastAsia" w:ascii="宋体" w:hAnsi="宋体"/>
          <w:bCs/>
          <w:color w:val="auto"/>
          <w:szCs w:val="21"/>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87"/>
        <w:rPr>
          <w:rFonts w:hint="eastAsia" w:hAnsi="宋体"/>
          <w:color w:val="auto"/>
          <w:highlight w:val="none"/>
        </w:rPr>
      </w:pPr>
      <w:r>
        <w:rPr>
          <w:rFonts w:hint="eastAsia" w:hAnsi="宋体"/>
          <w:color w:val="auto"/>
          <w:highlight w:val="none"/>
        </w:rPr>
      </w:r>
      <w:r/>
    </w:p>
    <w:p>
      <w:pPr>
        <w:jc w:val="center"/>
        <w:spacing w:before="156" w:after="156"/>
        <w:rPr>
          <w:rFonts w:hint="eastAsia" w:ascii="宋体" w:hAnsi="宋体"/>
          <w:b/>
          <w:color w:val="auto"/>
          <w:szCs w:val="21"/>
          <w:highlight w:val="none"/>
        </w:rPr>
        <w:outlineLvl w:val="0"/>
      </w:pPr>
      <w:r/>
      <w:bookmarkStart w:id="55" w:name="_Toc25028"/>
      <w:r>
        <w:rPr>
          <w:rFonts w:hint="eastAsia" w:ascii="宋体" w:hAnsi="宋体"/>
          <w:b/>
          <w:color w:val="auto"/>
          <w:szCs w:val="21"/>
          <w:highlight w:val="none"/>
        </w:rPr>
        <w:t xml:space="preserve">政府采购合同（货物）</w:t>
      </w:r>
      <w:bookmarkEnd w:id="55"/>
      <w:r/>
      <w:r/>
    </w:p>
    <w:p>
      <w:pPr>
        <w:jc w:val="center"/>
        <w:spacing w:before="156" w:after="156"/>
        <w:rPr>
          <w:rFonts w:hint="eastAsia" w:ascii="宋体" w:hAnsi="宋体"/>
          <w:b/>
          <w:bCs/>
          <w:color w:val="auto"/>
          <w:szCs w:val="21"/>
          <w:highlight w:val="none"/>
        </w:rPr>
        <w:outlineLvl w:val="0"/>
      </w:pPr>
      <w:r>
        <w:rPr>
          <w:rFonts w:hint="eastAsia" w:ascii="宋体" w:hAnsi="宋体"/>
          <w:b/>
          <w:bCs/>
          <w:color w:val="auto"/>
          <w:szCs w:val="21"/>
          <w:highlight w:val="none"/>
        </w:rPr>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项目名称：</w:t>
      </w:r>
      <w:r>
        <w:rPr>
          <w:rFonts w:hint="eastAsia" w:ascii="宋体" w:hAnsi="宋体"/>
          <w:bCs/>
          <w:color w:val="auto"/>
          <w:szCs w:val="21"/>
          <w:highlight w:val="none"/>
          <w:u w:val="single"/>
          <w:lang w:eastAsia="zh-CN"/>
        </w:rPr>
        <w:t xml:space="preserve">仪征市社会面监控十七期工程建设项目</w:t>
      </w:r>
      <w:r>
        <w:rPr>
          <w:rFonts w:hint="eastAsia" w:ascii="宋体" w:hAnsi="宋体"/>
          <w:bCs/>
          <w:color w:val="auto"/>
          <w:szCs w:val="21"/>
          <w:highlight w:val="none"/>
          <w:u w:val="single"/>
        </w:rPr>
        <w:t xml:space="preserve"> </w:t>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编号：</w:t>
      </w:r>
      <w:r>
        <w:rPr>
          <w:rFonts w:hint="eastAsia" w:ascii="宋体" w:hAnsi="宋体"/>
          <w:bCs/>
          <w:color w:val="auto"/>
          <w:szCs w:val="21"/>
          <w:highlight w:val="none"/>
          <w:u w:val="single"/>
        </w:rPr>
        <w:t xml:space="preserve"> JSZC-321081-BYGC-G2026-000</w:t>
      </w:r>
      <w:r>
        <w:rPr>
          <w:rFonts w:hint="eastAsia" w:ascii="宋体" w:hAnsi="宋体"/>
          <w:bCs/>
          <w:color w:val="auto"/>
          <w:szCs w:val="21"/>
          <w:highlight w:val="none"/>
          <w:u w:val="single"/>
          <w:lang w:val="en-US" w:eastAsia="zh-CN"/>
        </w:rPr>
        <w:t xml:space="preserve">6</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甲方（采购人/甲方）：</w:t>
      </w:r>
      <w:r>
        <w:rPr>
          <w:rFonts w:hint="eastAsia" w:ascii="宋体" w:hAnsi="宋体"/>
          <w:bCs/>
          <w:color w:val="auto"/>
          <w:szCs w:val="21"/>
          <w:highlight w:val="none"/>
          <w:u w:val="single"/>
        </w:rPr>
        <w:t xml:space="preserve">仪征市公安局 </w:t>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乙方（供应商/卖方）：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p>
    <w:p>
      <w:pPr>
        <w:keepLines w:val="0"/>
        <w:keepNext w:val="0"/>
        <w:pageBreakBefore w:val="0"/>
        <w:spacing w:before="120" w:after="120"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见证方：扬州博远工程咨询有限公司</w:t>
      </w:r>
      <w:r/>
    </w:p>
    <w:p>
      <w:pPr>
        <w:pStyle w:val="887"/>
        <w:ind w:firstLine="420"/>
        <w:keepLines w:val="0"/>
        <w:keepNext w:val="0"/>
        <w:pageBreakBefore w:val="0"/>
        <w:spacing w:line="500" w:lineRule="exact"/>
        <w:widowControl w:val="off"/>
        <w:rPr>
          <w:rFonts w:hint="eastAsia" w:ascii="宋体" w:hAnsi="宋体"/>
          <w:bCs/>
          <w:color w:val="auto"/>
          <w:szCs w:val="21"/>
          <w:highlight w:val="none"/>
        </w:rPr>
      </w:pPr>
      <w:r>
        <w:rPr>
          <w:rFonts w:hint="eastAsia" w:hAnsi="宋体"/>
          <w:color w:val="auto"/>
          <w:sz w:val="21"/>
          <w:highlight w:val="none"/>
        </w:rPr>
        <w:t xml:space="preserve">甲、乙双方根据</w:t>
      </w:r>
      <w:r>
        <w:rPr>
          <w:rFonts w:hint="eastAsia" w:hAnsi="宋体"/>
          <w:color w:val="auto"/>
          <w:sz w:val="21"/>
          <w:highlight w:val="none"/>
          <w:u w:val="none"/>
        </w:rPr>
        <w:t xml:space="preserve">扬州博远工程咨询有限公司</w:t>
      </w:r>
      <w:r>
        <w:rPr>
          <w:rFonts w:hint="eastAsia" w:hAnsi="宋体"/>
          <w:color w:val="auto"/>
          <w:sz w:val="21"/>
          <w:highlight w:val="none"/>
          <w:u w:val="single"/>
          <w:lang w:eastAsia="zh-CN"/>
        </w:rPr>
        <w:t xml:space="preserve"> 仪征市社会面监控十七期工程建设项目</w:t>
      </w:r>
      <w:r>
        <w:rPr>
          <w:rFonts w:hint="eastAsia" w:hAnsi="宋体"/>
          <w:color w:val="auto"/>
          <w:sz w:val="21"/>
          <w:highlight w:val="none"/>
        </w:rPr>
        <w:t xml:space="preserve">公开招标的结果，签署本合同。</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1、合同标的</w:t>
      </w:r>
      <w:r/>
    </w:p>
    <w:p>
      <w:pPr>
        <w:pStyle w:val="887"/>
        <w:ind w:left="0" w:firstLine="420"/>
        <w:keepLines w:val="0"/>
        <w:keepNext w:val="0"/>
        <w:pageBreakBefore w:val="0"/>
        <w:spacing w:line="500" w:lineRule="exact"/>
        <w:widowControl w:val="off"/>
        <w:rPr>
          <w:rFonts w:hint="default" w:ascii="宋体" w:hAnsi="宋体" w:eastAsia="宋体" w:cs="Times New Roman"/>
          <w:bCs/>
          <w:color w:val="auto"/>
          <w:sz w:val="21"/>
          <w:highlight w:val="none"/>
          <w:u w:val="single"/>
          <w:lang w:val="en-US" w:eastAsia="zh-CN"/>
        </w:rPr>
      </w:pPr>
      <w:r>
        <w:rPr>
          <w:rFonts w:hint="eastAsia" w:ascii="宋体" w:hAnsi="宋体" w:eastAsia="宋体" w:cs="Times New Roman"/>
          <w:bCs/>
          <w:color w:val="auto"/>
          <w:sz w:val="21"/>
          <w:highlight w:val="none"/>
        </w:rPr>
        <w:t xml:space="preserve">1.1 标的名称：</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1.2 标的质量：</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1.3 标的数量（规模）：</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1.4 履行时间（期限）：</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1.5 履行地点：</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1.6 履行方式：</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1.7 包装方式：</w:t>
      </w:r>
      <w:r>
        <w:rPr>
          <w:rFonts w:hint="eastAsia" w:ascii="宋体" w:hAnsi="宋体" w:eastAsia="宋体" w:cs="Times New Roman"/>
          <w:bCs/>
          <w:color w:val="auto"/>
          <w:sz w:val="21"/>
          <w:highlight w:val="none"/>
          <w:u w:val="single"/>
          <w:lang w:val="en-US" w:eastAsia="zh-CN"/>
        </w:rPr>
        <w:t xml:space="preserve">                  </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2、合同总金额</w:t>
      </w:r>
      <w:r/>
    </w:p>
    <w:p>
      <w:pPr>
        <w:pStyle w:val="887"/>
        <w:ind w:left="0" w:firstLine="420"/>
        <w:keepLines w:val="0"/>
        <w:keepNext w:val="0"/>
        <w:pageBreakBefore w:val="0"/>
        <w:spacing w:line="500" w:lineRule="exact"/>
        <w:widowControl w:val="off"/>
        <w:rPr>
          <w:rFonts w:hint="eastAsia" w:hAnsi="宋体"/>
          <w:color w:val="auto"/>
          <w:sz w:val="21"/>
          <w:highlight w:val="none"/>
        </w:rPr>
      </w:pPr>
      <w:r>
        <w:rPr>
          <w:rFonts w:hint="eastAsia" w:hAnsi="宋体"/>
          <w:bCs/>
          <w:color w:val="auto"/>
          <w:sz w:val="21"/>
          <w:highlight w:val="none"/>
        </w:rPr>
        <w:t xml:space="preserve">2.1 本合同总金额为（大写）：</w:t>
      </w:r>
      <w:r>
        <w:rPr>
          <w:rFonts w:hint="eastAsia" w:hAnsi="宋体"/>
          <w:bCs/>
          <w:color w:val="auto"/>
          <w:sz w:val="21"/>
          <w:highlight w:val="none"/>
          <w:u w:val="single"/>
        </w:rPr>
        <w:t xml:space="preserve">          </w:t>
      </w:r>
      <w:r>
        <w:rPr>
          <w:rFonts w:hint="eastAsia" w:hAnsi="宋体"/>
          <w:bCs/>
          <w:color w:val="auto"/>
          <w:sz w:val="21"/>
          <w:highlight w:val="none"/>
          <w:u w:val="single"/>
          <w:lang w:val="en-US" w:eastAsia="zh-CN"/>
        </w:rPr>
        <w:t xml:space="preserve">      </w:t>
      </w:r>
      <w:r>
        <w:rPr>
          <w:rFonts w:hint="eastAsia" w:hAnsi="宋体"/>
          <w:bCs/>
          <w:color w:val="auto"/>
          <w:sz w:val="21"/>
          <w:highlight w:val="none"/>
          <w:u w:val="single"/>
        </w:rPr>
        <w:t xml:space="preserve">   </w:t>
      </w:r>
      <w:r>
        <w:rPr>
          <w:rFonts w:hint="eastAsia" w:hAnsi="宋体"/>
          <w:bCs/>
          <w:color w:val="auto"/>
          <w:sz w:val="21"/>
          <w:highlight w:val="none"/>
        </w:rPr>
        <w:t xml:space="preserve">元人民币（</w:t>
      </w:r>
      <w:r>
        <w:rPr>
          <w:rFonts w:hint="default" w:ascii="Arial" w:hAnsi="Arial" w:cs="Arial"/>
          <w:bCs/>
          <w:color w:val="auto"/>
          <w:sz w:val="21"/>
          <w:highlight w:val="none"/>
        </w:rPr>
        <w:t xml:space="preserve">¥</w:t>
      </w:r>
      <w:r>
        <w:rPr>
          <w:rFonts w:hint="eastAsia" w:hAnsi="宋体"/>
          <w:bCs/>
          <w:color w:val="auto"/>
          <w:sz w:val="21"/>
          <w:highlight w:val="none"/>
          <w:u w:val="single"/>
        </w:rPr>
        <w:t xml:space="preserve">          </w:t>
      </w:r>
      <w:r>
        <w:rPr>
          <w:rFonts w:hint="eastAsia" w:hAnsi="宋体"/>
          <w:bCs/>
          <w:color w:val="auto"/>
          <w:sz w:val="21"/>
          <w:highlight w:val="none"/>
        </w:rPr>
        <w:t xml:space="preserve">元）。</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3、组成本合同的有关文件</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3.1乙方应按招标文件规定的时间向甲方提供使用货物(包含与货物相关的服务)的有关技术资料。</w:t>
      </w:r>
      <w:r/>
    </w:p>
    <w:p>
      <w:pPr>
        <w:pStyle w:val="887"/>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4、知识产权保证</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4.1 </w:t>
      </w:r>
      <w:r>
        <w:rPr>
          <w:rFonts w:hint="eastAsia" w:ascii="宋体" w:hAnsi="宋体"/>
          <w:bCs/>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5、产权保证</w:t>
      </w:r>
      <w:r/>
    </w:p>
    <w:p>
      <w:pPr>
        <w:pStyle w:val="887"/>
        <w:ind w:left="0" w:firstLine="420"/>
        <w:keepLines w:val="0"/>
        <w:keepNext w:val="0"/>
        <w:pageBreakBefore w:val="0"/>
        <w:spacing w:line="500" w:lineRule="exact"/>
        <w:widowControl w:val="off"/>
        <w:rPr>
          <w:rFonts w:hint="eastAsia" w:hAnsi="宋体"/>
          <w:color w:val="auto"/>
          <w:sz w:val="21"/>
          <w:highlight w:val="none"/>
        </w:rPr>
      </w:pPr>
      <w:r>
        <w:rPr>
          <w:rFonts w:hint="eastAsia" w:hAnsi="宋体"/>
          <w:color w:val="auto"/>
          <w:sz w:val="21"/>
          <w:highlight w:val="none"/>
          <w:lang w:val="en-US" w:eastAsia="zh-CN"/>
        </w:rPr>
        <w:t xml:space="preserve">5.1 </w:t>
      </w:r>
      <w:r>
        <w:rPr>
          <w:rFonts w:hint="eastAsia" w:hAnsi="宋体"/>
          <w:color w:val="auto"/>
          <w:sz w:val="21"/>
          <w:highlight w:val="none"/>
        </w:rPr>
        <w:t xml:space="preserve">乙方保证所交付的货物（包含与货物相关的服务）的所有权完全属于乙方且无任何抵押、查封等产权瑕疵。</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6、履约保证金</w:t>
      </w:r>
      <w:r/>
    </w:p>
    <w:p>
      <w:pPr>
        <w:pStyle w:val="887"/>
        <w:ind w:left="0" w:firstLine="420"/>
        <w:keepLines w:val="0"/>
        <w:keepNext w:val="0"/>
        <w:pageBreakBefore w:val="0"/>
        <w:spacing w:line="500" w:lineRule="exact"/>
        <w:widowControl w:val="off"/>
        <w:rPr>
          <w:rFonts w:hint="eastAsia" w:hAnsi="宋体"/>
          <w:bCs/>
          <w:color w:val="auto"/>
          <w:sz w:val="21"/>
          <w:szCs w:val="22"/>
          <w:highlight w:val="none"/>
          <w:u w:val="single"/>
          <w:lang w:val="en-US"/>
        </w:rPr>
      </w:pPr>
      <w:r>
        <w:rPr>
          <w:rFonts w:hint="eastAsia" w:hAnsi="宋体"/>
          <w:bCs/>
          <w:color w:val="auto"/>
          <w:sz w:val="21"/>
          <w:szCs w:val="22"/>
          <w:highlight w:val="none"/>
          <w:u w:val="single"/>
          <w:lang w:val="en-US" w:eastAsia="zh-CN"/>
        </w:rPr>
        <w:t xml:space="preserve">本项目无需缴纳履约保证金</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7、转包或分包</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eastAsia="宋体" w:cs="Times New Roman"/>
          <w:bCs/>
          <w:color w:val="auto"/>
          <w:szCs w:val="21"/>
          <w:highlight w:val="none"/>
        </w:rPr>
        <w:t xml:space="preserve">7.1 乙方不得将合同标的转</w:t>
      </w:r>
      <w:r>
        <w:rPr>
          <w:rFonts w:hint="eastAsia" w:ascii="宋体" w:hAnsi="宋体"/>
          <w:bCs/>
          <w:color w:val="auto"/>
          <w:szCs w:val="21"/>
          <w:highlight w:val="none"/>
        </w:rPr>
        <w:t xml:space="preserve">包给他人履行。</w:t>
      </w:r>
      <w:r/>
    </w:p>
    <w:p>
      <w:pPr>
        <w:ind w:left="0" w:firstLine="420"/>
        <w:keepLines w:val="0"/>
        <w:keepNext w:val="0"/>
        <w:pageBreakBefore w:val="0"/>
        <w:spacing w:line="500" w:lineRule="exact"/>
        <w:widowControl w:val="off"/>
        <w:rPr>
          <w:rFonts w:ascii="宋体" w:hAnsi="宋体"/>
          <w:bCs/>
          <w:color w:val="auto"/>
          <w:szCs w:val="21"/>
          <w:highlight w:val="none"/>
        </w:rPr>
      </w:pPr>
      <w:r>
        <w:rPr>
          <w:rFonts w:hint="eastAsia" w:ascii="宋体" w:hAnsi="宋体"/>
          <w:bCs/>
          <w:color w:val="auto"/>
          <w:szCs w:val="21"/>
          <w:highlight w:val="none"/>
        </w:rPr>
        <w:t xml:space="preserve">7.2 </w:t>
      </w:r>
      <w:r>
        <w:rPr>
          <w:rFonts w:ascii="宋体" w:hAnsi="宋体" w:cs="宋体"/>
          <w:color w:val="000000"/>
          <w:sz w:val="24"/>
          <w:highlight w:val="none"/>
        </w:rPr>
        <w:t xml:space="preserve">乙方不得将合同标的分包给他人履行。</w:t>
      </w:r>
      <w:r/>
    </w:p>
    <w:p>
      <w:pPr>
        <w:ind w:left="0" w:firstLine="420"/>
        <w:keepLines w:val="0"/>
        <w:keepNext w:val="0"/>
        <w:pageBreakBefore w:val="0"/>
        <w:spacing w:line="500" w:lineRule="exact"/>
        <w:widowControl w:val="off"/>
        <w:rPr>
          <w:rFonts w:ascii="宋体" w:hAnsi="宋体"/>
          <w:bCs/>
          <w:color w:val="auto"/>
          <w:szCs w:val="21"/>
          <w:highlight w:val="none"/>
        </w:rPr>
      </w:pPr>
      <w:r>
        <w:rPr>
          <w:rFonts w:hint="eastAsia" w:ascii="宋体" w:hAnsi="宋体"/>
          <w:bCs/>
          <w:color w:val="auto"/>
          <w:szCs w:val="21"/>
          <w:highlight w:val="none"/>
        </w:rPr>
        <w:t xml:space="preserve">7.3</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乙方如有转包或未经甲方同意的分包行为，甲方有权给予终止合同。</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8、质保期</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8.1 质保期</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年。（自交货验收合格之日起计）</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lang w:val="en-US" w:eastAsia="zh-CN"/>
        </w:rPr>
        <w:t xml:space="preserve">9</w:t>
      </w:r>
      <w:r>
        <w:rPr>
          <w:rFonts w:hint="eastAsia" w:hAnsi="宋体"/>
          <w:b/>
          <w:bCs/>
          <w:color w:val="auto"/>
          <w:sz w:val="21"/>
          <w:highlight w:val="none"/>
        </w:rPr>
        <w:t xml:space="preserve">、货款支付</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ascii="宋体" w:hAnsi="宋体"/>
          <w:bCs/>
          <w:color w:val="auto"/>
          <w:szCs w:val="21"/>
          <w:highlight w:val="none"/>
        </w:rPr>
        <w:t xml:space="preserve">10.1 </w:t>
      </w:r>
      <w:r>
        <w:rPr>
          <w:rFonts w:hint="eastAsia" w:ascii="宋体" w:hAnsi="宋体"/>
          <w:bCs/>
          <w:color w:val="auto"/>
          <w:szCs w:val="21"/>
          <w:highlight w:val="none"/>
        </w:rPr>
        <w:t xml:space="preserve">本合同项下所有款项均以人民币支付。 </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10.2 本合同项下的采购资金由甲方支付，付款前乙方向甲方开具发票。</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10.3 甲方付款方式：</w:t>
      </w:r>
      <w:r/>
    </w:p>
    <w:p>
      <w:pPr>
        <w:numPr>
          <w:ilvl w:val="0"/>
          <w:numId w:val="0"/>
        </w:numPr>
        <w:ind w:firstLine="420"/>
        <w:spacing w:after="156" w:line="360" w:lineRule="auto"/>
        <w:rPr>
          <w:rFonts w:hint="eastAsia" w:ascii="宋体" w:hAnsi="宋体"/>
          <w:bCs/>
          <w:color w:val="auto"/>
          <w:sz w:val="21"/>
          <w:szCs w:val="21"/>
          <w:highlight w:val="none"/>
          <w:u w:val="single"/>
          <w:lang w:eastAsia="zh-CN"/>
        </w:rPr>
      </w:pPr>
      <w:r>
        <w:rPr>
          <w:rFonts w:hint="eastAsia" w:ascii="宋体" w:hAnsi="宋体"/>
          <w:bCs/>
          <w:color w:val="auto"/>
          <w:sz w:val="21"/>
          <w:szCs w:val="21"/>
          <w:highlight w:val="none"/>
          <w:u w:val="none"/>
          <w:lang w:eastAsia="zh-CN"/>
        </w:rPr>
        <w:t xml:space="preserve">（</w:t>
      </w:r>
      <w:r>
        <w:rPr>
          <w:rFonts w:hint="eastAsia" w:ascii="宋体" w:hAnsi="宋体"/>
          <w:bCs/>
          <w:color w:val="auto"/>
          <w:sz w:val="21"/>
          <w:szCs w:val="21"/>
          <w:highlight w:val="none"/>
          <w:u w:val="none"/>
          <w:lang w:val="en-US" w:eastAsia="zh-CN"/>
        </w:rPr>
        <w:t xml:space="preserve">1</w:t>
      </w:r>
      <w:r>
        <w:rPr>
          <w:rFonts w:hint="eastAsia" w:ascii="宋体" w:hAnsi="宋体"/>
          <w:bCs/>
          <w:color w:val="auto"/>
          <w:sz w:val="21"/>
          <w:szCs w:val="21"/>
          <w:highlight w:val="none"/>
          <w:u w:val="none"/>
          <w:lang w:eastAsia="zh-CN"/>
        </w:rPr>
        <w:t xml:space="preserve">）</w:t>
      </w:r>
      <w:r>
        <w:rPr>
          <w:rFonts w:hint="eastAsia" w:ascii="宋体" w:hAnsi="宋体"/>
          <w:bCs/>
          <w:color w:val="auto"/>
          <w:sz w:val="21"/>
          <w:szCs w:val="21"/>
          <w:highlight w:val="none"/>
          <w:u w:val="single"/>
          <w:lang w:eastAsia="zh-CN"/>
        </w:rPr>
        <w:t xml:space="preserve">合同签订后，甲方自收到发票之日（乙方开票日期）起10个工作日内支付乙方合同金额30%的预付款；</w:t>
      </w:r>
      <w:r/>
    </w:p>
    <w:p>
      <w:pPr>
        <w:numPr>
          <w:ilvl w:val="0"/>
          <w:numId w:val="0"/>
        </w:numPr>
        <w:ind w:firstLine="420"/>
        <w:spacing w:after="156" w:line="360" w:lineRule="auto"/>
        <w:rPr>
          <w:rFonts w:hint="eastAsia" w:ascii="宋体" w:hAnsi="宋体"/>
          <w:bCs/>
          <w:color w:val="auto"/>
          <w:sz w:val="21"/>
          <w:szCs w:val="21"/>
          <w:highlight w:val="none"/>
          <w:u w:val="single"/>
          <w:lang w:eastAsia="zh-CN"/>
        </w:rPr>
      </w:pPr>
      <w:r>
        <w:rPr>
          <w:rFonts w:hint="eastAsia" w:ascii="宋体" w:hAnsi="宋体"/>
          <w:bCs/>
          <w:color w:val="auto"/>
          <w:sz w:val="21"/>
          <w:szCs w:val="21"/>
          <w:highlight w:val="none"/>
          <w:u w:val="none"/>
          <w:lang w:eastAsia="zh-CN"/>
        </w:rPr>
        <w:t xml:space="preserve">（</w:t>
      </w:r>
      <w:r>
        <w:rPr>
          <w:rFonts w:hint="eastAsia" w:ascii="宋体" w:hAnsi="宋体"/>
          <w:bCs/>
          <w:color w:val="auto"/>
          <w:sz w:val="21"/>
          <w:szCs w:val="21"/>
          <w:highlight w:val="none"/>
          <w:u w:val="none"/>
          <w:lang w:val="en-US" w:eastAsia="zh-CN"/>
        </w:rPr>
        <w:t xml:space="preserve">2</w:t>
      </w:r>
      <w:r>
        <w:rPr>
          <w:rFonts w:hint="eastAsia" w:ascii="宋体" w:hAnsi="宋体"/>
          <w:bCs/>
          <w:color w:val="auto"/>
          <w:sz w:val="21"/>
          <w:szCs w:val="21"/>
          <w:highlight w:val="none"/>
          <w:u w:val="none"/>
          <w:lang w:eastAsia="zh-CN"/>
        </w:rPr>
        <w:t xml:space="preserve">）</w:t>
      </w:r>
      <w:r>
        <w:rPr>
          <w:rFonts w:hint="eastAsia" w:ascii="宋体" w:hAnsi="宋体"/>
          <w:bCs/>
          <w:color w:val="auto"/>
          <w:sz w:val="21"/>
          <w:szCs w:val="21"/>
          <w:highlight w:val="none"/>
          <w:u w:val="single"/>
          <w:lang w:eastAsia="zh-CN"/>
        </w:rPr>
        <w:t xml:space="preserve">项目建设完毕，并实现所有数据与仪征市公安视频图像信息应用平台级联互通后，甲方自收到发票之日（乙方开票日期）起10个工作日内支付乙方合同总价的10%；</w:t>
      </w:r>
      <w:r/>
    </w:p>
    <w:p>
      <w:pPr>
        <w:pStyle w:val="887"/>
        <w:ind w:left="0" w:firstLine="420"/>
        <w:keepLines w:val="0"/>
        <w:keepNext w:val="0"/>
        <w:pageBreakBefore w:val="0"/>
        <w:spacing w:line="500" w:lineRule="exact"/>
        <w:widowControl w:val="off"/>
        <w:rPr>
          <w:rFonts w:hint="eastAsia" w:ascii="宋体" w:hAnsi="宋体"/>
          <w:bCs/>
          <w:color w:val="auto"/>
          <w:sz w:val="21"/>
          <w:szCs w:val="21"/>
          <w:highlight w:val="none"/>
          <w:u w:val="single"/>
          <w:lang w:eastAsia="zh-CN"/>
        </w:rPr>
      </w:pPr>
      <w:r>
        <w:rPr>
          <w:rFonts w:hint="eastAsia" w:ascii="宋体" w:hAnsi="宋体"/>
          <w:bCs/>
          <w:color w:val="auto"/>
          <w:sz w:val="21"/>
          <w:szCs w:val="21"/>
          <w:highlight w:val="none"/>
          <w:u w:val="none"/>
          <w:lang w:eastAsia="zh-CN"/>
        </w:rPr>
        <w:t xml:space="preserve">（3）</w:t>
      </w:r>
      <w:r>
        <w:rPr>
          <w:rFonts w:hint="eastAsia" w:ascii="宋体" w:hAnsi="宋体"/>
          <w:bCs/>
          <w:color w:val="auto"/>
          <w:sz w:val="21"/>
          <w:szCs w:val="21"/>
          <w:highlight w:val="none"/>
          <w:u w:val="single"/>
          <w:lang w:eastAsia="zh-CN"/>
        </w:rPr>
        <w:t xml:space="preserve">项目试运行三个月，验收合格并审计结束后，甲方自收到发票之日起10个工作日内支付结算审定价的余款。</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lang w:val="en-US" w:eastAsia="zh-CN"/>
        </w:rPr>
        <w:t xml:space="preserve">10</w:t>
      </w:r>
      <w:r>
        <w:rPr>
          <w:rFonts w:hint="eastAsia" w:hAnsi="宋体"/>
          <w:b/>
          <w:bCs/>
          <w:color w:val="auto"/>
          <w:sz w:val="21"/>
          <w:highlight w:val="none"/>
        </w:rPr>
        <w:t xml:space="preserve">、税费</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10.1 </w:t>
      </w:r>
      <w:r>
        <w:rPr>
          <w:rFonts w:hint="eastAsia" w:ascii="宋体" w:hAnsi="宋体"/>
          <w:bCs/>
          <w:color w:val="auto"/>
          <w:szCs w:val="21"/>
          <w:highlight w:val="none"/>
        </w:rPr>
        <w:t xml:space="preserve">本合同执行中相关的一切税费均由乙方负担。</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11</w:t>
      </w:r>
      <w:r>
        <w:rPr>
          <w:rFonts w:hint="eastAsia" w:ascii="宋体" w:hAnsi="宋体" w:eastAsia="宋体" w:cs="Times New Roman"/>
          <w:b/>
          <w:bCs/>
          <w:color w:val="auto"/>
          <w:sz w:val="21"/>
          <w:highlight w:val="none"/>
        </w:rPr>
        <w:t xml:space="preserve">、质量保修范围和保修期及售后服务</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11.1 乙方应按招标文件规定的货物性能、技术要求、质量标准向甲方提供未经使用的全新产品。</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11.2 乙方提供的货物在质量期内因货物本身的质量问题发生故障，乙方应负责免费更换。对达不到技术要求者，根据实际情况，经双方协商，可按以下办法处理：</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⑴更换：由乙方承担所发生的全部费用。</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⑵贬值处理：由甲乙双方合议定价。</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⑶退货处理：乙方应退还甲方支付的合同款，同时应承担该货物的直接费用（运输、保险、检验、货款利息及银行手续费等）。</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11.3 如在使用过程中发生质量问题，乙方在接到甲方通知后在___小时内到达甲方现场。</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11.4 在质保期内，乙方应对货物出现的质量及安全问题负责处理解决并承担一切费用。</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11.5上述的货物免费保修期为</w:t>
      </w:r>
      <w:r>
        <w:rPr>
          <w:rFonts w:hint="eastAsia" w:ascii="宋体" w:hAnsi="宋体" w:eastAsia="宋体" w:cs="Times New Roman"/>
          <w:bCs/>
          <w:color w:val="auto"/>
          <w:szCs w:val="21"/>
          <w:highlight w:val="none"/>
          <w:u w:val="single"/>
          <w:lang w:val="en-US" w:eastAsia="zh-CN"/>
        </w:rPr>
        <w:t xml:space="preserve">   </w:t>
      </w:r>
      <w:r>
        <w:rPr>
          <w:rFonts w:hint="eastAsia" w:ascii="宋体" w:hAnsi="宋体" w:eastAsia="宋体" w:cs="Times New Roman"/>
          <w:bCs/>
          <w:color w:val="auto"/>
          <w:szCs w:val="21"/>
          <w:highlight w:val="none"/>
          <w:lang w:val="en-US" w:eastAsia="zh-CN"/>
        </w:rPr>
        <w:t xml:space="preserve">年（自交货验收合格之日起计），因人为因素出现的故障不在免费保修范围内。超过保修期的机器设备，终生维修，维修时只收部件成本费。</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12</w:t>
      </w:r>
      <w:r>
        <w:rPr>
          <w:rFonts w:hint="eastAsia" w:ascii="宋体" w:hAnsi="宋体" w:eastAsia="宋体" w:cs="Times New Roman"/>
          <w:b/>
          <w:bCs/>
          <w:color w:val="auto"/>
          <w:sz w:val="21"/>
          <w:highlight w:val="none"/>
        </w:rPr>
        <w:t xml:space="preserve">、项目验收</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12.1 甲方依法组织履约验收工作。</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12.3 对于实际使用人和甲方分离的项目，甲方邀请实际使用人参与验收。</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12.4 如有必要，甲方邀请参加本项目的其他供应商或第三方专业机构及专家参与验收，相关意见将作为验收书的参考资料。</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13</w:t>
      </w:r>
      <w:r>
        <w:rPr>
          <w:rFonts w:hint="eastAsia" w:ascii="宋体" w:hAnsi="宋体" w:eastAsia="宋体" w:cs="Times New Roman"/>
          <w:b/>
          <w:bCs/>
          <w:color w:val="auto"/>
          <w:sz w:val="21"/>
          <w:highlight w:val="none"/>
        </w:rPr>
        <w:t xml:space="preserve">、货物的包装、发运及运输</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13.1 乙方应在货物发运前对其进行满足运输距离、防潮、防震、防锈和防破损装卸等要求包装，以保证货物安全运达甲方指定地点。</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13.2 使用说明书、质量检验证明书、随配附件和工具以及清单一并附于货物内。</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13.3 乙方在货物发运手续办理完毕后24小时内或货到甲方48小时前通知甲方，以准备接货。</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13.4 货物在交付甲方前发生的风险均由乙方负责。</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13.5 货物在规定的交付期限内由乙方送达甲方指定的地点视为交付，乙方同时需通知甲方货物已送达。</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14</w:t>
      </w:r>
      <w:r>
        <w:rPr>
          <w:rFonts w:hint="eastAsia" w:ascii="宋体" w:hAnsi="宋体" w:eastAsia="宋体" w:cs="Times New Roman"/>
          <w:b/>
          <w:bCs/>
          <w:color w:val="auto"/>
          <w:sz w:val="21"/>
          <w:highlight w:val="none"/>
        </w:rPr>
        <w:t xml:space="preserve">、违约责任</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14.1 甲方无正当理由拒收货物的，甲方向乙方偿付拒收货款总值</w:t>
      </w:r>
      <w:r>
        <w:rPr>
          <w:rFonts w:hint="eastAsia" w:ascii="宋体" w:hAnsi="宋体" w:eastAsia="宋体" w:cs="Times New Roman"/>
          <w:bCs/>
          <w:color w:val="auto"/>
          <w:szCs w:val="21"/>
          <w:highlight w:val="none"/>
          <w:u w:val="single"/>
          <w:lang w:val="en-US" w:eastAsia="zh-CN"/>
        </w:rPr>
        <w:t xml:space="preserve">百分之五</w:t>
      </w:r>
      <w:r>
        <w:rPr>
          <w:rFonts w:hint="eastAsia" w:ascii="宋体" w:hAnsi="宋体" w:eastAsia="宋体" w:cs="Times New Roman"/>
          <w:bCs/>
          <w:color w:val="auto"/>
          <w:szCs w:val="21"/>
          <w:highlight w:val="none"/>
          <w:lang w:val="en-US" w:eastAsia="zh-CN"/>
        </w:rPr>
        <w:t xml:space="preserve">的违约金。</w:t>
      </w:r>
      <w:r/>
    </w:p>
    <w:p>
      <w:pPr>
        <w:ind w:left="0" w:firstLine="420"/>
        <w:jc w:val="left"/>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14.2 甲方无故逾期验收和办理货款支付手续的,甲方应按逾期付款总额每日</w:t>
      </w:r>
      <w:r>
        <w:rPr>
          <w:rFonts w:hint="eastAsia" w:ascii="宋体" w:hAnsi="宋体" w:eastAsia="宋体" w:cs="Times New Roman"/>
          <w:bCs/>
          <w:color w:val="auto"/>
          <w:szCs w:val="21"/>
          <w:highlight w:val="none"/>
          <w:u w:val="single"/>
          <w:lang w:val="en-US" w:eastAsia="zh-CN"/>
        </w:rPr>
        <w:t xml:space="preserve">万分之五</w:t>
      </w:r>
      <w:r>
        <w:rPr>
          <w:rFonts w:hint="eastAsia" w:ascii="宋体" w:hAnsi="宋体" w:eastAsia="宋体" w:cs="Times New Roman"/>
          <w:bCs/>
          <w:color w:val="auto"/>
          <w:szCs w:val="21"/>
          <w:highlight w:val="none"/>
          <w:lang w:val="en-US" w:eastAsia="zh-CN"/>
        </w:rPr>
        <w:t xml:space="preserve">向乙方支付违约金。</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14.3 乙方逾期交付货物的，乙方应按逾期交货总额每日</w:t>
      </w:r>
      <w:r>
        <w:rPr>
          <w:rFonts w:hint="eastAsia" w:ascii="宋体" w:hAnsi="宋体" w:eastAsia="宋体" w:cs="Times New Roman"/>
          <w:bCs/>
          <w:color w:val="auto"/>
          <w:szCs w:val="21"/>
          <w:highlight w:val="none"/>
          <w:u w:val="single"/>
          <w:lang w:val="en-US" w:eastAsia="zh-CN"/>
        </w:rPr>
        <w:t xml:space="preserve">千分之六 </w:t>
      </w:r>
      <w:r>
        <w:rPr>
          <w:rFonts w:hint="eastAsia" w:ascii="宋体" w:hAnsi="宋体" w:eastAsia="宋体" w:cs="Times New Roman"/>
          <w:bCs/>
          <w:color w:val="auto"/>
          <w:szCs w:val="21"/>
          <w:highlight w:val="none"/>
          <w:lang w:val="en-US" w:eastAsia="zh-CN"/>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Times New Roman"/>
          <w:bCs/>
          <w:color w:val="auto"/>
          <w:szCs w:val="21"/>
          <w:highlight w:val="none"/>
          <w:u w:val="single"/>
          <w:lang w:val="en-US" w:eastAsia="zh-CN"/>
        </w:rPr>
        <w:t xml:space="preserve">5% </w:t>
      </w:r>
      <w:r>
        <w:rPr>
          <w:rFonts w:hint="eastAsia" w:ascii="宋体" w:hAnsi="宋体" w:eastAsia="宋体" w:cs="Times New Roman"/>
          <w:bCs/>
          <w:color w:val="auto"/>
          <w:szCs w:val="21"/>
          <w:highlight w:val="none"/>
          <w:lang w:val="en-US" w:eastAsia="zh-CN"/>
        </w:rPr>
        <w:t xml:space="preserve">的违约金，如造成甲方损失超过违约金的，超出部分由乙方继续承担赔偿责任。 </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15、不可抗力事件处理</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15.1 在合同有效期内，任何一方因不可抗力事件导致不能履行合同，则合同履行期可延长，其延长期与不可抗力影响期相同。</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15.2 不可抗力事件发生后，应立即通知对方，并寄送有关权威机构出具的证明。</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15.3 不可抗力事件延续120天以上，双方应通过友好协商，确定是否继续履行合同。</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16、解决争议的方法</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16.1甲乙双方因合同签订、履行而发生的一切争议，应通过友好协商解决。如协商不成由甲方住所地人民法院管辖。</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hAnsi="宋体" w:cs="Times New Roman"/>
          <w:b/>
          <w:bCs/>
          <w:color w:val="auto"/>
          <w:sz w:val="21"/>
          <w:highlight w:val="none"/>
          <w:lang w:val="en-US" w:eastAsia="zh-CN"/>
        </w:rPr>
        <w:t xml:space="preserve">17</w:t>
      </w:r>
      <w:r>
        <w:rPr>
          <w:rFonts w:hint="eastAsia" w:ascii="宋体" w:hAnsi="宋体" w:eastAsia="宋体" w:cs="Times New Roman"/>
          <w:b/>
          <w:bCs/>
          <w:color w:val="auto"/>
          <w:sz w:val="21"/>
          <w:highlight w:val="none"/>
          <w:lang w:val="en-US" w:eastAsia="zh-CN"/>
        </w:rPr>
        <w:t xml:space="preserve">、合同生效及其它</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.1 合同经双方法定代表人签章并加盖单位公章，并经扬州博远工程咨询有限公司见证盖章后生效。</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.2本合同未尽事宜，遵照《民法典》有关条文执行。</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.3 本合同正本一式陆份，具有同等法律效力，甲方、乙方各执贰份，见证方及财政监管部门（仪征市财政局政府采购与部门资产管理科）各执壹份。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bl>
      <w:tblPr>
        <w:tblStyle w:val="878"/>
        <w:tblpPr w:horzAnchor="page" w:tblpX="1866" w:vertAnchor="text" w:tblpY="4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7"/>
              <w:spacing w:before="120" w:after="120" w:line="360" w:lineRule="auto"/>
              <w:rPr>
                <w:rFonts w:hint="eastAsia" w:ascii="宋体" w:hAnsi="宋体" w:eastAsia="宋体" w:cs="Times New Roman"/>
                <w:color w:val="auto"/>
                <w:sz w:val="21"/>
                <w:highlight w:val="none"/>
                <w:lang w:eastAsia="zh-CN"/>
              </w:rPr>
            </w:pPr>
            <w:r>
              <w:rPr>
                <w:rFonts w:hint="eastAsia" w:ascii="宋体" w:hAnsi="宋体" w:eastAsia="宋体" w:cs="Times New Roman"/>
                <w:color w:val="auto"/>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7"/>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7"/>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7"/>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7"/>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7"/>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7"/>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7"/>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7"/>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7"/>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日期：      年    月    日</w:t>
            </w:r>
            <w:r/>
          </w:p>
        </w:tc>
      </w:tr>
    </w:tbl>
    <w:p>
      <w:pPr>
        <w:pStyle w:val="887"/>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 </w:t>
      </w:r>
      <w:r/>
    </w:p>
    <w:p>
      <w:pPr>
        <w:pStyle w:val="887"/>
        <w:ind w:firstLine="0"/>
        <w:keepLines w:val="0"/>
        <w:keepNext w:val="0"/>
        <w:pageBreakBefore w:val="0"/>
        <w:spacing w:before="120" w:after="120" w:line="360" w:lineRule="auto"/>
        <w:widowControl w:val="off"/>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见证方：扬州博远工程咨询有限公司</w:t>
      </w:r>
      <w:r/>
    </w:p>
    <w:p>
      <w:pPr>
        <w:pStyle w:val="887"/>
        <w:ind w:firstLine="0"/>
        <w:keepLines w:val="0"/>
        <w:keepNext w:val="0"/>
        <w:pageBreakBefore w:val="0"/>
        <w:spacing w:before="120" w:after="120" w:line="360" w:lineRule="auto"/>
        <w:widowControl w:val="off"/>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日期：     年   月   日</w:t>
      </w:r>
      <w:r/>
    </w:p>
    <w:p>
      <w:pPr>
        <w:pStyle w:val="887"/>
        <w:ind w:firstLine="420"/>
        <w:spacing w:before="120" w:after="120" w:line="360" w:lineRule="auto"/>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Times New Roman"/>
          <w:color w:val="auto"/>
          <w:sz w:val="21"/>
          <w:highlight w:val="none"/>
        </w:rPr>
        <w:t xml:space="preserve">    </w:t>
      </w:r>
      <w:r/>
    </w:p>
    <w:p>
      <w:pPr>
        <w:pStyle w:val="875"/>
        <w:numPr>
          <w:ilvl w:val="0"/>
          <w:numId w:val="0"/>
        </w:numPr>
        <w:jc w:val="center"/>
        <w:rPr>
          <w:rFonts w:hint="eastAsia"/>
          <w:b/>
          <w:bCs w:val="0"/>
          <w:color w:val="auto"/>
          <w:sz w:val="36"/>
          <w:szCs w:val="24"/>
          <w:highlight w:val="none"/>
        </w:rPr>
      </w:pPr>
      <w:r/>
      <w:bookmarkStart w:id="56" w:name="_Toc32147"/>
      <w:r/>
      <w:bookmarkStart w:id="57" w:name="_Toc512692550"/>
      <w:r>
        <w:rPr>
          <w:rFonts w:hint="eastAsia" w:ascii="Times New Roman" w:hAnsi="Times New Roman" w:eastAsia="宋体" w:cs="Times New Roman"/>
          <w:b/>
          <w:bCs w:val="0"/>
          <w:color w:val="auto"/>
          <w:sz w:val="36"/>
          <w:szCs w:val="24"/>
          <w:lang w:val="en-US" w:eastAsia="zh-CN" w:bidi="ar-SA"/>
        </w:rPr>
        <w:t xml:space="preserve">第四章</w:t>
      </w:r>
      <w:r>
        <w:rPr>
          <w:rFonts w:hint="eastAsia" w:cs="Times New Roman"/>
          <w:b/>
          <w:bCs w:val="0"/>
          <w:color w:val="auto"/>
          <w:sz w:val="36"/>
          <w:szCs w:val="24"/>
          <w:lang w:val="en-US" w:eastAsia="zh-CN" w:bidi="ar-SA"/>
        </w:rPr>
        <w:t xml:space="preserve"> </w:t>
      </w:r>
      <w:r>
        <w:rPr>
          <w:rFonts w:hint="eastAsia"/>
          <w:b/>
          <w:bCs w:val="0"/>
          <w:color w:val="auto"/>
          <w:sz w:val="36"/>
          <w:szCs w:val="24"/>
          <w:highlight w:val="none"/>
        </w:rPr>
        <w:t xml:space="preserve">项目需求</w:t>
      </w:r>
      <w:r/>
    </w:p>
    <w:p>
      <w:pPr>
        <w:ind w:firstLine="480"/>
        <w:spacing w:line="360" w:lineRule="auto"/>
        <w:rPr>
          <w:rFonts w:hint="eastAsia"/>
          <w:b/>
          <w:bCs/>
          <w:color w:val="auto"/>
          <w:sz w:val="24"/>
          <w:szCs w:val="24"/>
          <w:highlight w:val="none"/>
          <w:lang w:val="en-US" w:eastAsia="zh-CN"/>
        </w:rPr>
      </w:pPr>
      <w:r>
        <w:rPr>
          <w:rFonts w:hint="eastAsia"/>
          <w:color w:val="auto"/>
          <w:sz w:val="24"/>
          <w:szCs w:val="24"/>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hint="eastAsia"/>
          <w:color w:val="auto"/>
          <w:sz w:val="24"/>
          <w:szCs w:val="24"/>
          <w:highlight w:val="none"/>
          <w:lang w:eastAsia="zh-CN"/>
        </w:rPr>
        <w:t xml:space="preserve">“</w:t>
      </w:r>
      <w:r>
        <w:rPr>
          <w:rFonts w:hint="eastAsia"/>
          <w:color w:val="auto"/>
          <w:sz w:val="24"/>
          <w:szCs w:val="24"/>
          <w:highlight w:val="none"/>
        </w:rPr>
        <w:t xml:space="preserve">符合证明文件格式</w:t>
      </w:r>
      <w:r>
        <w:rPr>
          <w:rFonts w:hint="eastAsia"/>
          <w:color w:val="auto"/>
          <w:sz w:val="24"/>
          <w:szCs w:val="24"/>
          <w:highlight w:val="none"/>
          <w:lang w:eastAsia="zh-CN"/>
        </w:rPr>
        <w:t xml:space="preserve">”</w:t>
      </w:r>
      <w:r>
        <w:rPr>
          <w:rFonts w:hint="eastAsia"/>
          <w:color w:val="auto"/>
          <w:sz w:val="24"/>
          <w:szCs w:val="24"/>
          <w:highlight w:val="none"/>
        </w:rPr>
        <w:t xml:space="preserve">中准确填写或上传。</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w:t>
      </w:r>
      <w:r>
        <w:rPr>
          <w:rFonts w:hint="eastAsia" w:asciiTheme="minorEastAsia" w:hAnsiTheme="minorEastAsia" w:eastAsiaTheme="minorEastAsia" w:cstheme="minorEastAsia"/>
          <w:b/>
          <w:bCs/>
          <w:color w:val="auto"/>
          <w:sz w:val="24"/>
          <w:szCs w:val="24"/>
          <w:highlight w:val="none"/>
        </w:rPr>
        <w:t xml:space="preserve">项目属性:货物类项目</w:t>
      </w:r>
      <w:r/>
    </w:p>
    <w:p>
      <w:pPr>
        <w:ind w:firstLine="480"/>
        <w:jc w:val="left"/>
        <w:keepLines w:val="0"/>
        <w:keepNext w:val="0"/>
        <w:spacing w:line="360" w:lineRule="auto"/>
        <w:widowControl/>
        <w:rPr>
          <w:rFonts w:hint="eastAsia" w:asciiTheme="minorEastAsia" w:hAnsiTheme="minorEastAsia" w:eastAsiaTheme="minorEastAsia" w:cstheme="minorEastAsia"/>
          <w:bCs/>
          <w:iCs/>
          <w:sz w:val="24"/>
          <w:szCs w:val="24"/>
        </w:rPr>
        <w:suppressLineNumbers w:val="0"/>
      </w:pPr>
      <w:r>
        <w:rPr>
          <w:rFonts w:hint="eastAsia" w:asciiTheme="minorEastAsia" w:hAnsiTheme="minorEastAsia" w:eastAsiaTheme="minorEastAsia" w:cstheme="minorEastAsia"/>
          <w:bCs/>
          <w:iCs/>
          <w:sz w:val="24"/>
          <w:szCs w:val="24"/>
        </w:rPr>
        <w:t xml:space="preserve">1</w:t>
      </w:r>
      <w:r>
        <w:rPr>
          <w:rFonts w:hint="eastAsia" w:asciiTheme="minorEastAsia" w:hAnsiTheme="minorEastAsia" w:eastAsiaTheme="minorEastAsia" w:cstheme="minorEastAsia"/>
          <w:bCs/>
          <w:iCs/>
          <w:sz w:val="24"/>
          <w:szCs w:val="24"/>
          <w:lang w:eastAsia="zh-CN"/>
        </w:rPr>
        <w:t xml:space="preserve">、</w:t>
      </w:r>
      <w:r>
        <w:rPr>
          <w:rFonts w:hint="eastAsia" w:asciiTheme="minorEastAsia" w:hAnsiTheme="minorEastAsia" w:eastAsiaTheme="minorEastAsia" w:cstheme="minorEastAsia"/>
          <w:bCs/>
          <w:iCs/>
          <w:sz w:val="24"/>
          <w:szCs w:val="24"/>
        </w:rPr>
        <w:t xml:space="preserve">如本项目采购产品被财政部、国家发改委、生态环境部等列入“节能产品</w:t>
      </w:r>
      <w:r>
        <w:rPr>
          <w:rFonts w:hint="eastAsia" w:asciiTheme="minorEastAsia" w:hAnsiTheme="minorEastAsia" w:eastAsiaTheme="minorEastAsia" w:cstheme="minorEastAsia"/>
          <w:bCs/>
          <w:iCs/>
          <w:sz w:val="24"/>
          <w:szCs w:val="24"/>
          <w:lang w:val="en-US" w:eastAsia="zh-CN"/>
        </w:rPr>
        <w:t xml:space="preserve">政府采购</w:t>
      </w:r>
      <w:r>
        <w:rPr>
          <w:rFonts w:hint="eastAsia" w:asciiTheme="minorEastAsia" w:hAnsiTheme="minorEastAsia" w:eastAsiaTheme="minorEastAsia" w:cstheme="minorEastAsia"/>
          <w:bCs/>
          <w:iCs/>
          <w:sz w:val="24"/>
          <w:szCs w:val="24"/>
        </w:rPr>
        <w:t xml:space="preserve">品目清单”强制采购范围，投标文件中必须提供国家确定的认证机构出具的、处于有效期之内的该节能产品认证证书。本项目强制节能产品：</w:t>
      </w:r>
      <w:r>
        <w:rPr>
          <w:rFonts w:hint="eastAsia" w:asciiTheme="minorEastAsia" w:hAnsiTheme="minorEastAsia" w:eastAsiaTheme="minorEastAsia" w:cstheme="minorEastAsia"/>
          <w:bCs/>
          <w:iCs/>
          <w:sz w:val="24"/>
          <w:szCs w:val="24"/>
          <w:u w:val="single"/>
          <w:lang w:val="en-US" w:eastAsia="zh-CN"/>
        </w:rPr>
        <w:t xml:space="preserve"> 无 </w:t>
      </w:r>
      <w:r>
        <w:rPr>
          <w:rFonts w:hint="eastAsia" w:asciiTheme="minorEastAsia" w:hAnsiTheme="minorEastAsia" w:eastAsiaTheme="minorEastAsia" w:cstheme="minorEastAsia"/>
          <w:bCs/>
          <w:iCs/>
          <w:sz w:val="24"/>
          <w:szCs w:val="24"/>
          <w:lang w:eastAsia="zh-CN"/>
        </w:rPr>
        <w:t xml:space="preserve">。</w:t>
      </w:r>
      <w:r/>
    </w:p>
    <w:p>
      <w:pPr>
        <w:ind w:firstLine="480"/>
        <w:jc w:val="left"/>
        <w:keepLines w:val="0"/>
        <w:keepNext w:val="0"/>
        <w:spacing w:line="360" w:lineRule="auto"/>
        <w:widowControl/>
        <w:rPr>
          <w:rFonts w:hint="eastAsia" w:asciiTheme="minorEastAsia" w:hAnsiTheme="minorEastAsia" w:eastAsiaTheme="minorEastAsia" w:cstheme="minorEastAsia"/>
          <w:bCs/>
          <w:iCs/>
          <w:sz w:val="24"/>
          <w:szCs w:val="24"/>
        </w:rPr>
        <w:suppressLineNumbers w:val="0"/>
      </w:pPr>
      <w:r>
        <w:rPr>
          <w:rFonts w:hint="eastAsia" w:asciiTheme="minorEastAsia" w:hAnsiTheme="minorEastAsia" w:eastAsiaTheme="minorEastAsia" w:cstheme="minorEastAsia"/>
          <w:bCs/>
          <w:iCs/>
          <w:sz w:val="24"/>
          <w:szCs w:val="24"/>
        </w:rPr>
        <w:t xml:space="preserve">2</w:t>
      </w:r>
      <w:r>
        <w:rPr>
          <w:rFonts w:hint="eastAsia" w:asciiTheme="minorEastAsia" w:hAnsiTheme="minorEastAsia" w:eastAsiaTheme="minorEastAsia" w:cstheme="minorEastAsia"/>
          <w:bCs/>
          <w:iCs/>
          <w:sz w:val="24"/>
          <w:szCs w:val="24"/>
          <w:lang w:eastAsia="zh-CN"/>
        </w:rPr>
        <w:t xml:space="preserve">、</w:t>
      </w:r>
      <w:r>
        <w:rPr>
          <w:rFonts w:hint="eastAsia" w:asciiTheme="minorEastAsia" w:hAnsiTheme="minorEastAsia" w:eastAsiaTheme="minorEastAsia" w:cstheme="minor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、政府采购中实施本国产品标准及相关政策</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本项目对采购本国产品给予政策支持，具体内容见招标文件“第五章 评标方法与评标标准”。</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采购标的清单</w:t>
      </w:r>
      <w:r/>
    </w:p>
    <w:p>
      <w:pPr>
        <w:numPr>
          <w:ilvl w:val="0"/>
          <w:numId w:val="0"/>
        </w:numPr>
        <w:jc w:val="center"/>
        <w:keepLines w:val="0"/>
        <w:keepNext w:val="0"/>
        <w:pageBreakBefore w:val="0"/>
        <w:spacing w:before="161" w:line="360" w:lineRule="auto"/>
        <w:widowControl w:val="off"/>
        <w:rPr>
          <w:rFonts w:hint="eastAsia"/>
          <w:b/>
          <w:bCs w:val="0"/>
          <w:iCs/>
          <w:color w:val="000000"/>
          <w:sz w:val="24"/>
          <w:szCs w:val="24"/>
          <w:highlight w:val="none"/>
          <w:lang w:val="en-US" w:eastAsia="zh-CN"/>
        </w:rPr>
      </w:pPr>
      <w:r>
        <w:rPr>
          <w:rFonts w:hint="eastAsia"/>
          <w:b/>
          <w:bCs w:val="0"/>
          <w:iCs/>
          <w:color w:val="000000"/>
          <w:sz w:val="24"/>
          <w:szCs w:val="24"/>
          <w:highlight w:val="none"/>
          <w:lang w:val="en-US" w:eastAsia="zh-CN"/>
        </w:rPr>
        <w:t xml:space="preserve">采购标的对应的中小企业划分标准所属行业一览表</w:t>
      </w:r>
      <w:r/>
    </w:p>
    <w:tbl>
      <w:tblPr>
        <w:tblStyle w:val="878"/>
        <w:tblW w:w="8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5"/>
        <w:gridCol w:w="2894"/>
        <w:gridCol w:w="3945"/>
      </w:tblGrid>
      <w:tr>
        <w:trPr>
          <w:cantSplit/>
          <w:jc w:val="center"/>
          <w:trHeight w:val="456"/>
        </w:trPr>
        <w:tc>
          <w:tcPr>
            <w:tcW w:w="14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28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采购标的</w:t>
            </w:r>
            <w:r/>
          </w:p>
        </w:tc>
        <w:tc>
          <w:tcPr>
            <w:tcW w:w="39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对应中小企业划分标准所属行业</w:t>
            </w:r>
            <w:r/>
          </w:p>
        </w:tc>
      </w:tr>
      <w:tr>
        <w:trPr>
          <w:cantSplit/>
          <w:jc w:val="center"/>
          <w:trHeight w:val="291"/>
        </w:trPr>
        <w:tc>
          <w:tcPr>
            <w:tcW w:w="142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94" w:type="dxa"/>
            <w:vAlign w:val="center"/>
            <w:textDirection w:val="lrTb"/>
            <w:noWrap w:val="false"/>
          </w:tcPr>
          <w:p>
            <w:pPr>
              <w:jc w:val="center"/>
              <w:spacing w:after="0" w:line="520" w:lineRule="exact"/>
              <w:rPr>
                <w:rFonts w:ascii="宋体" w:hAnsi="宋体"/>
                <w:sz w:val="24"/>
                <w:szCs w:val="24"/>
              </w:rPr>
            </w:pPr>
            <w:r>
              <w:rPr>
                <w:rFonts w:hint="eastAsia" w:asciiTheme="minorEastAsia" w:hAnsiTheme="minorEastAsia" w:eastAsiaTheme="minorEastAsia" w:cstheme="minorEastAsia"/>
                <w:color w:val="000000"/>
                <w:sz w:val="24"/>
              </w:rPr>
              <w:t xml:space="preserve">车辆卡口点位升级改造</w:t>
            </w:r>
            <w:r/>
          </w:p>
        </w:tc>
        <w:tc>
          <w:tcPr>
            <w:tcW w:w="3945" w:type="dxa"/>
            <w:vAlign w:val="center"/>
            <w:textDirection w:val="lrTb"/>
            <w:noWrap w:val="false"/>
          </w:tcPr>
          <w:p>
            <w:pPr>
              <w:jc w:val="center"/>
              <w:spacing w:after="0" w:line="520" w:lineRule="exact"/>
              <w:rPr>
                <w:rFonts w:ascii="宋体" w:hAnsi="宋体"/>
                <w:sz w:val="24"/>
                <w:szCs w:val="24"/>
              </w:rPr>
            </w:pPr>
            <w:r>
              <w:rPr>
                <w:rFonts w:hint="eastAsia" w:asciiTheme="minorEastAsia" w:hAnsiTheme="minorEastAsia" w:eastAsiaTheme="minorEastAsia" w:cstheme="minorEastAsia"/>
                <w:color w:val="000000"/>
                <w:sz w:val="24"/>
              </w:rPr>
              <w:t xml:space="preserve">工业</w:t>
            </w:r>
            <w:r/>
          </w:p>
        </w:tc>
      </w:tr>
      <w:tr>
        <w:trPr>
          <w:cantSplit/>
          <w:jc w:val="center"/>
          <w:trHeight w:val="222"/>
        </w:trPr>
        <w:tc>
          <w:tcPr>
            <w:tcW w:w="1425"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2</w:t>
            </w:r>
            <w:r/>
          </w:p>
        </w:tc>
        <w:tc>
          <w:tcPr>
            <w:tcW w:w="2894" w:type="dxa"/>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特征抓拍点位升级改造</w:t>
            </w:r>
            <w:r/>
          </w:p>
        </w:tc>
        <w:tc>
          <w:tcPr>
            <w:tcW w:w="3945" w:type="dxa"/>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工业</w:t>
            </w:r>
            <w:r/>
          </w:p>
        </w:tc>
      </w:tr>
    </w:tbl>
    <w:p>
      <w:pPr>
        <w:ind w:firstLine="482"/>
        <w:spacing w:line="360" w:lineRule="auto"/>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b/>
          <w:bCs/>
          <w:color w:val="000000"/>
          <w:sz w:val="24"/>
          <w:szCs w:val="24"/>
          <w:lang w:val="en-US" w:eastAsia="zh-CN"/>
        </w:rPr>
        <w:t xml:space="preserve">5、本项目的核心产品：</w:t>
      </w:r>
      <w:r/>
    </w:p>
    <w:tbl>
      <w:tblPr>
        <w:tblStyle w:val="878"/>
        <w:tblW w:w="8265"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6585"/>
      </w:tblGrid>
      <w:tr>
        <w:trPr>
          <w:trHeight w:val="457"/>
        </w:trPr>
        <w:tc>
          <w:tcPr>
            <w:tcW w:w="16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65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核心产品</w:t>
            </w:r>
            <w:r/>
          </w:p>
        </w:tc>
      </w:tr>
      <w:tr>
        <w:trPr/>
        <w:tc>
          <w:tcPr>
            <w:tcW w:w="1680" w:type="dxa"/>
            <w:vAlign w:val="center"/>
            <w:textDirection w:val="lrTb"/>
            <w:noWrap w:val="false"/>
          </w:tcPr>
          <w:p>
            <w:pPr>
              <w:jc w:val="center"/>
              <w:spacing w:after="0" w:line="520" w:lineRule="exact"/>
              <w:rPr>
                <w:rFonts w:ascii="宋体" w:hAnsi="宋体"/>
                <w:szCs w:val="21"/>
                <w:highlight w:val="none"/>
              </w:rPr>
            </w:pPr>
            <w:r>
              <w:rPr>
                <w:rFonts w:hint="eastAsia" w:asciiTheme="minorEastAsia" w:hAnsiTheme="minorEastAsia" w:eastAsiaTheme="minorEastAsia" w:cstheme="minorEastAsia"/>
                <w:sz w:val="24"/>
                <w:highlight w:val="none"/>
              </w:rPr>
              <w:t xml:space="preserve">1</w:t>
            </w:r>
            <w:r/>
          </w:p>
        </w:tc>
        <w:tc>
          <w:tcPr>
            <w:tcW w:w="6585" w:type="dxa"/>
            <w:vAlign w:val="center"/>
            <w:textDirection w:val="lrTb"/>
            <w:noWrap w:val="false"/>
          </w:tcPr>
          <w:p>
            <w:pPr>
              <w:jc w:val="center"/>
              <w:spacing w:after="0" w:line="520" w:lineRule="exact"/>
              <w:rPr>
                <w:rFonts w:hint="eastAsia" w:ascii="宋体" w:hAnsi="宋体"/>
                <w:szCs w:val="21"/>
                <w:highlight w:val="none"/>
              </w:rPr>
            </w:pPr>
            <w:r>
              <w:rPr>
                <w:rFonts w:hint="eastAsia" w:asciiTheme="minorEastAsia" w:hAnsiTheme="minorEastAsia" w:eastAsiaTheme="minorEastAsia" w:cstheme="minorEastAsia"/>
                <w:sz w:val="24"/>
                <w:highlight w:val="none"/>
              </w:rPr>
              <w:t xml:space="preserve">电警卡口抓拍单元</w:t>
            </w:r>
            <w:r/>
          </w:p>
        </w:tc>
      </w:tr>
      <w:tr>
        <w:trPr/>
        <w:tc>
          <w:tcPr>
            <w:tcW w:w="1680" w:type="dxa"/>
            <w:vAlign w:val="center"/>
            <w:textDirection w:val="lrTb"/>
            <w:noWrap w:val="false"/>
          </w:tcPr>
          <w:p>
            <w:pPr>
              <w:jc w:val="center"/>
              <w:spacing w:after="0" w:line="520" w:lineRule="exact"/>
              <w:rPr>
                <w:rFonts w:ascii="宋体" w:hAnsi="宋体"/>
                <w:szCs w:val="21"/>
                <w:highlight w:val="none"/>
              </w:rPr>
            </w:pPr>
            <w:r>
              <w:rPr>
                <w:rFonts w:hint="eastAsia" w:asciiTheme="minorEastAsia" w:hAnsiTheme="minorEastAsia" w:eastAsiaTheme="minorEastAsia" w:cstheme="minorEastAsia"/>
                <w:sz w:val="24"/>
                <w:highlight w:val="none"/>
              </w:rPr>
              <w:t xml:space="preserve">2</w:t>
            </w:r>
            <w:r/>
          </w:p>
        </w:tc>
        <w:tc>
          <w:tcPr>
            <w:tcW w:w="6585" w:type="dxa"/>
            <w:vAlign w:val="center"/>
            <w:textDirection w:val="lrTb"/>
            <w:noWrap w:val="false"/>
          </w:tcPr>
          <w:p>
            <w:pPr>
              <w:jc w:val="center"/>
              <w:spacing w:after="0" w:line="520" w:lineRule="exact"/>
              <w:rPr>
                <w:rFonts w:hint="eastAsia" w:ascii="宋体" w:hAnsi="宋体"/>
                <w:szCs w:val="21"/>
                <w:highlight w:val="none"/>
              </w:rPr>
            </w:pPr>
            <w:r>
              <w:rPr>
                <w:rFonts w:hint="eastAsia" w:asciiTheme="minorEastAsia" w:hAnsiTheme="minorEastAsia" w:eastAsiaTheme="minorEastAsia" w:cstheme="minorEastAsia"/>
                <w:sz w:val="24"/>
                <w:highlight w:val="none"/>
              </w:rPr>
              <w:t xml:space="preserve">室外双摄特征抓拍</w:t>
            </w:r>
            <w:r/>
          </w:p>
        </w:tc>
      </w:tr>
    </w:tbl>
    <w:p>
      <w:pPr>
        <w:pStyle w:val="879"/>
        <w:rPr>
          <w:rFonts w:hint="eastAsia"/>
          <w:lang w:val="en-US" w:eastAsia="zh-CN"/>
        </w:rPr>
      </w:pPr>
      <w:r>
        <w:rPr>
          <w:rFonts w:hint="eastAsia"/>
          <w:lang w:val="en-US" w:eastAsia="zh-CN"/>
        </w:rPr>
      </w:r>
      <w:r/>
    </w:p>
    <w:p>
      <w:pPr>
        <w:spacing w:line="36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二、项目背景</w:t>
      </w:r>
      <w:r/>
    </w:p>
    <w:p>
      <w:pPr>
        <w:ind w:firstLine="480"/>
        <w:spacing w:after="0" w:line="360" w:lineRule="auto"/>
        <w:rPr>
          <w:rFonts w:hint="eastAsia" w:eastAsia="宋体" w:cs="Times New Roman" w:asciiTheme="minorEastAsia" w:hAnsiTheme="minorEastAsia"/>
          <w:sz w:val="24"/>
          <w:highlight w:val="none"/>
        </w:rPr>
      </w:pPr>
      <w:r>
        <w:rPr>
          <w:rFonts w:hint="eastAsia" w:eastAsia="宋体" w:cs="Times New Roman" w:asciiTheme="minorEastAsia" w:hAnsiTheme="minorEastAsia"/>
          <w:sz w:val="24"/>
          <w:highlight w:val="none"/>
        </w:rPr>
        <w:t xml:space="preserve">按照江苏省公安厅“苏警数智”行动方案、扬州市公安局“智改数转”行动计划、仪征市推动大规模设备更新和消费品以旧换新实施方案规划部署，以视频智能化前端、人像比对系统、交警智能电子警察、平台后端扩容及升级为主要建设内容，推进公安智慧防控建设，全息自动感知“人、车、网、像”等实时动态信息，深化数据应用，让进攻主动精准、防控科学高效的总体目标。</w:t>
      </w:r>
      <w:r/>
    </w:p>
    <w:p>
      <w:pPr>
        <w:ind w:firstLine="480"/>
        <w:spacing w:after="0" w:line="360" w:lineRule="auto"/>
        <w:rPr>
          <w:rFonts w:hint="eastAsia" w:eastAsia="宋体" w:cs="Times New Roman" w:asciiTheme="minorEastAsia" w:hAnsiTheme="minorEastAsia"/>
          <w:sz w:val="24"/>
          <w:highlight w:val="none"/>
        </w:rPr>
      </w:pPr>
      <w:r/>
      <w:bookmarkStart w:id="58" w:name="_Hlk213332797"/>
      <w:r>
        <w:rPr>
          <w:rFonts w:hint="eastAsia" w:eastAsia="宋体" w:cs="Times New Roman" w:asciiTheme="minorEastAsia" w:hAnsiTheme="minorEastAsia"/>
          <w:sz w:val="24"/>
          <w:highlight w:val="none"/>
        </w:rPr>
        <w:t xml:space="preserve">持续增强智慧技防城市建设，实现“全面覆盖、智能感知、云上共享、精细应用”，依托新载体、新网络、新技术，进一步打造公共安全技防监控系统“双体系、一朵云、一大脑、多模型、泛应用、可持续”的建设应用工作格局。提升基层社会治安防控信息化水平，增强社会治安综合治理整体效能。努力使影响群众安全感的多发性案件和公共安全事故得到有效防范和遏制，基层社会治安环境持续改善提升，人民群众安全感和满意度明显提高。为加快建设美丽时尚高品质现代化的城市，创造更加平安和谐的社会环境，建设更高水平的“平安仪征”。</w:t>
      </w:r>
      <w:bookmarkEnd w:id="58"/>
      <w:r/>
      <w:r/>
    </w:p>
    <w:p>
      <w:pPr>
        <w:jc w:val="left"/>
        <w:spacing w:line="520" w:lineRule="exact"/>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建设原则</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1.先进性与适用性</w:t>
      </w:r>
      <w:r/>
    </w:p>
    <w:p>
      <w:pPr>
        <w:ind w:firstLine="480"/>
        <w:spacing w:after="0" w:line="360" w:lineRule="auto"/>
        <w:rPr>
          <w:highlight w:val="none"/>
        </w:rPr>
      </w:pPr>
      <w:r>
        <w:rPr>
          <w:rFonts w:hint="eastAsia" w:asciiTheme="minorEastAsia" w:hAnsiTheme="minorEastAsia"/>
          <w:sz w:val="24"/>
          <w:highlight w:val="none"/>
        </w:rPr>
        <w:t xml:space="preserve">采用科学的、主流的、符合发展方向的技术设备和理念，系统集成化、模块化程度高。设计合理，架构简洁、功能完备，切合实际，能有效控制和提高工作效率，满足工作的实际需求。系统的技术性能和质量指标达到国内领先水平，同时系统的安装调试、软件操作使用又应简便易行，容易掌握，适合中国国情和本项目的特点。平台集市场上众多先进技术于一身，体现了当前计算机控制技术与计算机网络技术的最新发展水平，适应时代发展的要求。</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lang w:val="en-US" w:eastAsia="zh-CN"/>
        </w:rPr>
        <w:t xml:space="preserve">2.</w:t>
      </w:r>
      <w:r>
        <w:rPr>
          <w:rFonts w:hint="eastAsia" w:asciiTheme="minorEastAsia" w:hAnsiTheme="minorEastAsia"/>
          <w:sz w:val="24"/>
          <w:highlight w:val="none"/>
        </w:rPr>
        <w:t xml:space="preserve">经济性与实用性</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在先进、可靠和充分满足系统功能的前提下，体现高性价比。采用经济实用的技术和设备，充分利用现有资源，综合考虑系统的设计、建设、升级和维护。充分考虑用户实际需要和信息技术发展趋势，根据用户现场环境，设计选用功能和适合现场情况、符合用户要求的系统配置方案，通过严密、有机的组合，实现最佳的性能价格比，以便节约工程投资，同时保证系统功能实施的需求，经济实用。</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lang w:val="en-US" w:eastAsia="zh-CN"/>
        </w:rPr>
        <w:t xml:space="preserve">3.</w:t>
      </w:r>
      <w:r>
        <w:rPr>
          <w:rFonts w:hint="eastAsia" w:asciiTheme="minorEastAsia" w:hAnsiTheme="minorEastAsia"/>
          <w:sz w:val="24"/>
          <w:highlight w:val="none"/>
        </w:rPr>
        <w:t xml:space="preserve">可靠性与安全性</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系统采用成熟的、稳定的、完善技术设备，系统具有一致性、升级能力，能够保证全天候长期稳定运行。在系统故障或事故造成中断后，能确保数据的准确性、完整性和一致性，并具备迅速恢复的功能，同时系统具有一整套完成的系统管理策略，可以保证系统的运行安全,同时在设备国产化运行后，能同步实现所有的功能。</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lang w:val="en-US" w:eastAsia="zh-CN"/>
        </w:rPr>
        <w:t xml:space="preserve">4.</w:t>
      </w:r>
      <w:r>
        <w:rPr>
          <w:rFonts w:hint="eastAsia" w:asciiTheme="minorEastAsia" w:hAnsiTheme="minorEastAsia"/>
          <w:sz w:val="24"/>
          <w:highlight w:val="none"/>
        </w:rPr>
        <w:t xml:space="preserve">开放性与扩充性</w:t>
      </w:r>
      <w:r/>
    </w:p>
    <w:p>
      <w:pPr>
        <w:ind w:firstLine="480"/>
        <w:spacing w:after="0" w:line="360" w:lineRule="auto"/>
        <w:rPr>
          <w:rFonts w:hint="eastAsia" w:eastAsia="宋体" w:cs="Times New Roman" w:asciiTheme="minorEastAsia" w:hAnsiTheme="minorEastAsia"/>
          <w:sz w:val="24"/>
          <w:highlight w:val="none"/>
        </w:rPr>
      </w:pPr>
      <w:r>
        <w:rPr>
          <w:rFonts w:hint="eastAsia" w:asciiTheme="minorEastAsia" w:hAnsiTheme="minorEastAsia"/>
          <w:sz w:val="24"/>
          <w:highlight w:val="none"/>
        </w:rPr>
        <w:t xml:space="preserve">系统设计中考虑到今后技术的发展和使用的需要，具有更新、扩充和升级的可能，系统规模和功能易于扩充，系统配套软件具有升级能力。同时，本方案在设计中留有冗余，以满足今后的发展要求。方案中设备的控制容量上保留一定的余地，以便在系统中改造新的控制点；系统中还保留与其他信息系统连接的接口；也尽量考虑未来科学的发展和新技术的应用。</w:t>
      </w:r>
      <w:r/>
    </w:p>
    <w:p>
      <w:pPr>
        <w:jc w:val="left"/>
        <w:spacing w:line="520" w:lineRule="exact"/>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四</w:t>
      </w:r>
      <w:r>
        <w:rPr>
          <w:rFonts w:hint="eastAsia" w:ascii="宋体" w:hAnsi="宋体" w:cs="宋体"/>
          <w:b/>
          <w:bCs/>
          <w:sz w:val="24"/>
          <w:szCs w:val="24"/>
          <w:highlight w:val="none"/>
        </w:rPr>
        <w:t xml:space="preserve">、功能需求</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本次建设主要有前端特征抓拍采集、网络传输，实现对前端通行图像信息采集、传输、处理、分析与集中管理、布控、应用等。智能感知前端完成特征图像信息的采集，通过网络</w:t>
      </w:r>
      <w:r>
        <w:rPr>
          <w:rFonts w:hint="eastAsia" w:asciiTheme="minorEastAsia" w:hAnsiTheme="minorEastAsia"/>
          <w:color w:val="auto"/>
          <w:sz w:val="24"/>
          <w:highlight w:val="none"/>
        </w:rPr>
        <w:t xml:space="preserve">传输（通过租用运营商裸纤直通光纤链路组建专网）完</w:t>
      </w:r>
      <w:r>
        <w:rPr>
          <w:rFonts w:hint="eastAsia" w:asciiTheme="minorEastAsia" w:hAnsiTheme="minorEastAsia"/>
          <w:sz w:val="24"/>
          <w:highlight w:val="none"/>
        </w:rPr>
        <w:t xml:space="preserve">成数据、图片、视频流的传输与交换。在视频专网部署动态比对系统:负责对新建或已建的高清摄像机、特征抓拍摄像机、车辆卡口相机的接入，以及对视频监控平台的接入支持；负责实时视频流分析、照片结构化、人像比对计算、路人数据存储和路人检索等功能，同时负责特征识别动态比对报警、布控；视频专网建立布控人员库(100万)，向动态比对系统提供布控特征。</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1总体架构</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在视频专网部署动态比对系统:负责对新建或已建的普通摄像机、人像卡口摄像机的接入，以及对视频监控平台的接入支持；负责实时视频流分析、人脸照片结构化、人像比对计算、路人数据存储和路人检索等功能，同时负责人脸识别动态比对报警、布控；视频专网建立布控人员库(100万)，向动态比对系统提供布控特征。</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2布控流程</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本级布控:分局可针对本市特色人员按需布控。</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接受市局布控对接:市局从公安内网市级人像比对系统下发布控业务指令及布控人员信息，通过安全交互平台，采用数据摆渡的方式到市级视频专网进行下发布控，布控信息到达区县视频专网人像比对模块，进行实时布控比对，并将布控信息通过市级视频专网回传至市级公安内网人像比对系统，完成布控闭环。</w:t>
      </w:r>
      <w:r/>
    </w:p>
    <w:p>
      <w:pPr>
        <w:spacing w:after="0" w:line="520" w:lineRule="exact"/>
        <w:rPr>
          <w:rFonts w:ascii="宋体" w:hAnsi="宋体" w:cs="宋体"/>
          <w:b/>
          <w:bCs/>
          <w:color w:val="ff0000"/>
          <w:sz w:val="24"/>
          <w:highlight w:val="none"/>
        </w:rPr>
      </w:pPr>
      <w:r>
        <w:rPr>
          <w:rFonts w:hint="eastAsia" w:asciiTheme="minorEastAsia" w:hAnsiTheme="minorEastAsia" w:eastAsiaTheme="minorEastAsia" w:cstheme="minorEastAsia"/>
          <w:b/>
          <w:bCs/>
          <w:color w:val="ff0000"/>
          <w:sz w:val="28"/>
          <w:szCs w:val="28"/>
          <w:highlight w:val="none"/>
        </w:rPr>
        <w:t xml:space="preserve">分包</w:t>
      </w:r>
      <w:r>
        <w:rPr>
          <w:rFonts w:hint="eastAsia" w:asciiTheme="minorEastAsia" w:hAnsiTheme="minorEastAsia" w:eastAsiaTheme="minorEastAsia" w:cstheme="minorEastAsia"/>
          <w:b/>
          <w:bCs/>
          <w:color w:val="ff0000"/>
          <w:sz w:val="28"/>
          <w:szCs w:val="28"/>
          <w:highlight w:val="none"/>
          <w:lang w:val="en-US" w:eastAsia="zh-CN"/>
        </w:rPr>
        <w:t xml:space="preserve">1</w:t>
      </w:r>
      <w:r>
        <w:rPr>
          <w:rFonts w:hint="eastAsia" w:asciiTheme="minorEastAsia" w:hAnsiTheme="minorEastAsia" w:eastAsiaTheme="minorEastAsia" w:cstheme="minorEastAsia"/>
          <w:b/>
          <w:bCs/>
          <w:color w:val="ff0000"/>
          <w:sz w:val="28"/>
          <w:szCs w:val="28"/>
          <w:highlight w:val="none"/>
        </w:rPr>
        <w:t xml:space="preserve">：</w:t>
      </w:r>
      <w:r>
        <w:rPr>
          <w:rFonts w:hint="eastAsia" w:ascii="宋体" w:hAnsi="宋体" w:cs="宋体"/>
          <w:b/>
          <w:bCs/>
          <w:color w:val="ff0000"/>
          <w:sz w:val="24"/>
          <w:highlight w:val="none"/>
        </w:rPr>
        <w:t xml:space="preserve">车辆卡口点位升级改造</w:t>
      </w:r>
      <w:r/>
    </w:p>
    <w:p>
      <w:pPr>
        <w:spacing w:after="0" w:line="520" w:lineRule="exact"/>
        <w:rPr>
          <w:rFonts w:ascii="宋体" w:hAnsi="宋体" w:cs="宋体"/>
          <w:b/>
          <w:bCs/>
          <w:color w:val="ff0000"/>
          <w:sz w:val="24"/>
          <w:highlight w:val="none"/>
        </w:rPr>
      </w:pPr>
      <w:r>
        <w:rPr>
          <w:rFonts w:hint="eastAsia" w:asciiTheme="minorEastAsia" w:hAnsiTheme="minorEastAsia" w:eastAsiaTheme="minorEastAsia" w:cstheme="minorEastAsia"/>
          <w:b/>
          <w:bCs/>
          <w:color w:val="ff0000"/>
          <w:sz w:val="28"/>
          <w:szCs w:val="28"/>
          <w:highlight w:val="none"/>
        </w:rPr>
        <w:t xml:space="preserve">核心产品：</w:t>
      </w:r>
      <w:r>
        <w:rPr>
          <w:rFonts w:hint="eastAsia" w:ascii="宋体" w:hAnsi="宋体" w:cs="宋体"/>
          <w:b/>
          <w:bCs/>
          <w:color w:val="ff0000"/>
          <w:sz w:val="24"/>
          <w:highlight w:val="none"/>
        </w:rPr>
        <w:t xml:space="preserve">电警卡口抓拍单元 </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仪征全市范围内部分交通卡口抓拍设备老化，且智能化程度不高。该项目</w:t>
      </w:r>
      <w:r>
        <w:rPr>
          <w:rFonts w:hint="eastAsia" w:asciiTheme="minorEastAsia" w:hAnsiTheme="minorEastAsia"/>
          <w:highlight w:val="none"/>
        </w:rPr>
        <w:t xml:space="preserve">旨在仪征市辖区范围内对交通卡口损坏、老旧设备进行全面更新，按照卡口特点选择不同类型卡口抓拍单元，并对卡口配套非机动车道安装智能感知前端。共新增24台单车辆卡口、28台多合一爆闪补光灯、54台电警卡口抓拍单元、43台电警抓拍单元、95台环保爆闪补光灯、101台频闪补光灯、17台智能前端存储设备、23台高清球机、46台室外双摄特征抓拍、46台人脸补光灯以及配套扩容后端云存储设备，满足录像、抓拍图片云端存储及大数据智能分析需要。该项目要实现与仪征市公安视频图像信息应用平台无缝对接，实现资源统一管理、应用整合共享。</w:t>
      </w:r>
      <w:r/>
    </w:p>
    <w:p>
      <w:pPr>
        <w:ind w:firstLine="422"/>
        <w:spacing w:after="0" w:line="360" w:lineRule="auto"/>
        <w:rPr>
          <w:rFonts w:ascii="宋体" w:hAnsi="宋体"/>
          <w:b/>
          <w:i/>
          <w:color w:val="0000ff"/>
          <w:sz w:val="28"/>
          <w:szCs w:val="28"/>
          <w:highlight w:val="none"/>
          <w:u w:val="single"/>
        </w:rPr>
      </w:pPr>
      <w:r>
        <w:rPr>
          <w:rFonts w:hint="eastAsia" w:asciiTheme="minorEastAsia" w:hAnsiTheme="minorEastAsia"/>
          <w:i/>
          <w:iCs/>
          <w:sz w:val="24"/>
          <w:highlight w:val="none"/>
          <w:u w:val="single"/>
        </w:rPr>
        <w:t xml:space="preserve">须为前端相机、云存储扩容硬件至少提供5年的原厂质保。</w:t>
      </w:r>
      <w:r>
        <w:rPr>
          <w:rFonts w:hint="eastAsia" w:ascii="宋体" w:hAnsi="宋体" w:cs="宋体"/>
          <w:b/>
          <w:i/>
          <w:iCs/>
          <w:sz w:val="24"/>
          <w:highlight w:val="none"/>
          <w:u w:val="single"/>
        </w:rPr>
        <w:t xml:space="preserve">（提供承诺函，原件扫描上传，格式自拟）</w:t>
      </w:r>
      <w:r/>
    </w:p>
    <w:p>
      <w:pPr>
        <w:pStyle w:val="934"/>
        <w:ind w:firstLine="420"/>
        <w:rPr>
          <w:rFonts w:asciiTheme="minorEastAsia" w:hAnsiTheme="minorEastAsia"/>
          <w:highlight w:val="none"/>
        </w:rPr>
      </w:pPr>
      <w:r>
        <w:rPr>
          <w:rFonts w:hint="eastAsia" w:asciiTheme="minorEastAsia" w:hAnsiTheme="minorEastAsia"/>
          <w:highlight w:val="none"/>
        </w:rPr>
        <w:t xml:space="preserve">包括共新增单车辆卡口24台、多合一爆闪补光灯28台、电警卡口抓拍单元 54台、电警抓拍单元 43台、95台环保爆闪补光灯、101台频闪补光灯、智能前端存储设备17台、23台高清球机、室外双摄特征抓拍46台、人脸补光灯46台以及配套扩容后端云存储设备，实现与仪征市公安视频图像信息应用平台无缝对接，实现资源统一管理、应用整合共享。</w:t>
      </w:r>
      <w:r/>
    </w:p>
    <w:p>
      <w:pPr>
        <w:pStyle w:val="934"/>
        <w:ind w:firstLine="420"/>
        <w:rPr>
          <w:rFonts w:ascii="宋体" w:hAnsi="宋体"/>
          <w:b/>
          <w:bCs/>
          <w:color w:val="0000ff"/>
          <w:sz w:val="28"/>
          <w:szCs w:val="28"/>
        </w:rPr>
      </w:pPr>
      <w:r>
        <w:rPr>
          <w:rFonts w:hint="eastAsia" w:asciiTheme="minorEastAsia" w:hAnsiTheme="minorEastAsia"/>
          <w:i/>
          <w:iCs/>
          <w:u w:val="single"/>
        </w:rPr>
        <w:t xml:space="preserve">项目后端设备供货期限为签订合同后</w:t>
      </w:r>
      <w:r>
        <w:rPr>
          <w:rFonts w:hint="eastAsia" w:asciiTheme="minorEastAsia" w:hAnsiTheme="minorEastAsia"/>
          <w:i/>
          <w:iCs/>
          <w:color w:val="auto"/>
          <w:highlight w:val="none"/>
          <w:u w:val="single"/>
        </w:rPr>
        <w:t xml:space="preserve">1个月内，监理</w:t>
      </w:r>
      <w:r>
        <w:rPr>
          <w:rFonts w:hint="eastAsia" w:asciiTheme="minorEastAsia" w:hAnsiTheme="minorEastAsia"/>
          <w:i/>
          <w:iCs/>
          <w:u w:val="single"/>
        </w:rPr>
        <w:t xml:space="preserve">对设备核验合格后进行安装，安装期限为到货后2个月内，必须在规定期限内完成工作任务。</w:t>
      </w:r>
      <w:r>
        <w:rPr>
          <w:rFonts w:hint="eastAsia" w:ascii="宋体" w:hAnsi="宋体" w:cs="宋体"/>
          <w:b/>
          <w:i/>
          <w:iCs/>
          <w:u w:val="single"/>
        </w:rPr>
        <w:t xml:space="preserve">（提供承诺函，原件扫描上传，格式自拟）</w:t>
      </w:r>
      <w:r/>
    </w:p>
    <w:p>
      <w:pPr>
        <w:ind w:firstLine="482"/>
        <w:jc w:val="left"/>
        <w:spacing w:line="520" w:lineRule="exact"/>
        <w:rPr>
          <w:rFonts w:ascii="宋体" w:hAnsi="宋体" w:cs="宋体"/>
          <w:b/>
          <w:bCs/>
          <w:sz w:val="24"/>
          <w:highlight w:val="none"/>
        </w:rPr>
      </w:pP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、前端材料设备部分技术要求</w:t>
      </w:r>
      <w:r/>
    </w:p>
    <w:p>
      <w:pPr>
        <w:pStyle w:val="934"/>
        <w:ind w:firstLine="420"/>
        <w:rPr>
          <w:rFonts w:asciiTheme="minorEastAsia" w:hAnsiTheme="minorEastAsia"/>
          <w:highlight w:val="none"/>
        </w:rPr>
      </w:pPr>
      <w:r>
        <w:rPr>
          <w:rFonts w:hint="eastAsia" w:asciiTheme="minorEastAsia" w:hAnsiTheme="minorEastAsia"/>
          <w:highlight w:val="none"/>
        </w:rPr>
        <w:t xml:space="preserve">监控点根据现场实际情况，可采用立杆安装、抱箍安装（横臂不得仅采用不锈钢扎带固定）、壁挂安装等方式。监控立杆设计需要考虑整体杆件的材质、杆型、焊接工艺、表面处理以及杆体颜色等。杆件需要具备在后期加装各类设备的扩容功能。</w:t>
      </w:r>
      <w:r/>
    </w:p>
    <w:p>
      <w:pPr>
        <w:pStyle w:val="934"/>
        <w:ind w:firstLine="420"/>
        <w:rPr>
          <w:rFonts w:asciiTheme="minorEastAsia" w:hAnsiTheme="minorEastAsia"/>
          <w:highlight w:val="none"/>
        </w:rPr>
      </w:pPr>
      <w:r>
        <w:rPr>
          <w:rFonts w:hint="eastAsia" w:asciiTheme="minorEastAsia" w:hAnsiTheme="minorEastAsia"/>
          <w:highlight w:val="none"/>
        </w:rPr>
        <w:t xml:space="preserve">车辆卡口杆件的横臂相对地面高度不得小于6米。</w:t>
      </w:r>
      <w:r/>
    </w:p>
    <w:p>
      <w:pPr>
        <w:pStyle w:val="934"/>
        <w:ind w:firstLine="420"/>
        <w:rPr>
          <w:rFonts w:asciiTheme="minorEastAsia" w:hAnsiTheme="minorEastAsia"/>
          <w:highlight w:val="none"/>
        </w:rPr>
      </w:pPr>
      <w:r>
        <w:rPr>
          <w:rFonts w:hint="eastAsia" w:asciiTheme="minorEastAsia" w:hAnsiTheme="minorEastAsia"/>
          <w:highlight w:val="none"/>
        </w:rPr>
        <w:t xml:space="preserve">特征抓拍专用立杆的横臂离地面高度需满足相应的特征相机抓拍需求，部分杆件上需要安装球机，球机底部相对于路面高度不得低于6米。 特殊地形可适度调整，采用立杆固定时，杆底端焊接固定法兰盘，预留拉线孔，地基应是硬质，同时根据现场安装点地质的实际情况，调整相应的尺寸。立杆的安装应牢固，不得歪斜，需用水平仪来测定；制作要美观，其顶部需做防水。立杆应有较高强度，抗台风、防摄像机抖动、防攀爬、防腐。</w:t>
      </w:r>
      <w:r/>
    </w:p>
    <w:p>
      <w:pPr>
        <w:ind w:firstLine="482"/>
        <w:jc w:val="left"/>
        <w:spacing w:line="520" w:lineRule="exact"/>
        <w:rPr>
          <w:rFonts w:ascii="宋体" w:hAnsi="宋体" w:cs="宋体"/>
          <w:b/>
          <w:bCs/>
          <w:sz w:val="24"/>
          <w:highlight w:val="none"/>
        </w:rPr>
      </w:pPr>
      <w:r>
        <w:rPr>
          <w:rFonts w:hint="eastAsia" w:ascii="宋体" w:hAnsi="宋体" w:cs="宋体"/>
          <w:b/>
          <w:bCs/>
          <w:sz w:val="24"/>
          <w:highlight w:val="none"/>
        </w:rPr>
        <w:t xml:space="preserve">控制箱</w:t>
      </w:r>
      <w:r/>
    </w:p>
    <w:tbl>
      <w:tblPr>
        <w:tblStyle w:val="878"/>
        <w:tblW w:w="853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305"/>
        <w:gridCol w:w="3480"/>
        <w:gridCol w:w="690"/>
        <w:gridCol w:w="2370"/>
      </w:tblGrid>
      <w:tr>
        <w:trPr>
          <w:trHeight w:val="45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规格及型号</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材质</w:t>
            </w:r>
            <w:r/>
          </w:p>
        </w:tc>
      </w:tr>
      <w:tr>
        <w:trPr>
          <w:trHeight w:val="45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rPr>
                <w:rFonts w:ascii="宋体" w:hAnsi="宋体" w:cs="Arial"/>
                <w:color w:val="auto"/>
                <w:szCs w:val="21"/>
                <w:highlight w:val="none"/>
              </w:rPr>
            </w:pPr>
            <w:r>
              <w:rPr>
                <w:rFonts w:hint="eastAsia" w:ascii="宋体" w:hAnsi="宋体" w:cs="Arial"/>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after="0"/>
              <w:rPr>
                <w:rFonts w:ascii="宋体" w:hAnsi="宋体" w:cs="Arial"/>
                <w:bCs/>
                <w:color w:val="auto"/>
                <w:szCs w:val="21"/>
                <w:highlight w:val="none"/>
              </w:rPr>
            </w:pPr>
            <w:r>
              <w:rPr>
                <w:rFonts w:hint="eastAsia" w:ascii="宋体" w:hAnsi="宋体" w:cs="Arial"/>
                <w:bCs/>
                <w:color w:val="auto"/>
                <w:szCs w:val="21"/>
                <w:highlight w:val="none"/>
              </w:rPr>
              <w:t xml:space="preserve">智能控制箱</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jc w:val="center"/>
              <w:spacing w:after="0"/>
              <w:rPr>
                <w:rFonts w:hint="default" w:ascii="宋体" w:hAnsi="宋体" w:eastAsia="宋体" w:cs="Arial"/>
                <w:color w:val="auto"/>
                <w:szCs w:val="21"/>
                <w:highlight w:val="none"/>
                <w:lang w:val="en-US" w:eastAsia="zh-CN"/>
              </w:rPr>
            </w:pPr>
            <w:r>
              <w:rPr>
                <w:rFonts w:ascii="宋体" w:hAnsi="宋体" w:cs="Arial"/>
                <w:color w:val="auto"/>
                <w:szCs w:val="21"/>
                <w:highlight w:val="none"/>
              </w:rPr>
              <w:t xml:space="preserve">（宽）400</w:t>
            </w:r>
            <w:r>
              <w:rPr>
                <w:rFonts w:hint="eastAsia" w:ascii="宋体" w:hAnsi="宋体" w:cs="Arial"/>
                <w:color w:val="auto"/>
                <w:szCs w:val="21"/>
                <w:highlight w:val="none"/>
                <w:lang w:val="en-US" w:eastAsia="zh-CN"/>
              </w:rPr>
              <w:t xml:space="preserve">mm</w:t>
            </w:r>
            <w:r>
              <w:rPr>
                <w:rFonts w:ascii="宋体" w:hAnsi="宋体" w:cs="Arial"/>
                <w:color w:val="auto"/>
                <w:szCs w:val="21"/>
                <w:highlight w:val="none"/>
              </w:rPr>
              <w:t xml:space="preserve">×（高）</w:t>
            </w:r>
            <w:r>
              <w:rPr>
                <w:rFonts w:hint="eastAsia" w:ascii="宋体" w:hAnsi="宋体" w:cs="Arial"/>
                <w:color w:val="auto"/>
                <w:szCs w:val="21"/>
                <w:highlight w:val="none"/>
              </w:rPr>
              <w:t xml:space="preserve">61</w:t>
            </w:r>
            <w:r>
              <w:rPr>
                <w:rFonts w:ascii="宋体" w:hAnsi="宋体" w:cs="Arial"/>
                <w:color w:val="auto"/>
                <w:szCs w:val="21"/>
                <w:highlight w:val="none"/>
              </w:rPr>
              <w:t xml:space="preserve">0</w:t>
            </w:r>
            <w:r>
              <w:rPr>
                <w:rFonts w:hint="eastAsia" w:ascii="宋体" w:hAnsi="宋体" w:cs="Arial"/>
                <w:color w:val="auto"/>
                <w:szCs w:val="21"/>
                <w:highlight w:val="none"/>
                <w:lang w:val="en-US" w:eastAsia="zh-CN"/>
              </w:rPr>
              <w:t xml:space="preserve">mm</w:t>
            </w:r>
            <w:r>
              <w:rPr>
                <w:rFonts w:ascii="宋体" w:hAnsi="宋体" w:cs="Arial"/>
                <w:color w:val="auto"/>
                <w:szCs w:val="21"/>
                <w:highlight w:val="none"/>
              </w:rPr>
              <w:t xml:space="preserve">×（深）</w:t>
            </w:r>
            <w:r>
              <w:rPr>
                <w:rFonts w:hint="eastAsia" w:ascii="宋体" w:hAnsi="宋体" w:cs="Arial"/>
                <w:color w:val="auto"/>
                <w:szCs w:val="21"/>
                <w:highlight w:val="none"/>
                <w:lang w:val="en-US" w:eastAsia="zh-CN"/>
              </w:rPr>
              <w:t xml:space="preserve">300mm</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rPr>
                <w:rFonts w:ascii="宋体" w:hAnsi="宋体" w:cs="Arial"/>
                <w:color w:val="auto"/>
                <w:szCs w:val="21"/>
                <w:highlight w:val="none"/>
              </w:rPr>
            </w:pPr>
            <w:r>
              <w:rPr>
                <w:rFonts w:ascii="宋体" w:hAnsi="宋体" w:cs="Arial"/>
                <w:color w:val="auto"/>
                <w:szCs w:val="21"/>
                <w:highlight w:val="none"/>
              </w:rPr>
              <w:t xml:space="preserve">只</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spacing w:after="0"/>
              <w:rPr>
                <w:rFonts w:ascii="宋体" w:hAnsi="宋体" w:cs="Arial"/>
                <w:color w:val="auto"/>
                <w:szCs w:val="21"/>
                <w:highlight w:val="none"/>
              </w:rPr>
            </w:pPr>
            <w:r>
              <w:rPr>
                <w:rFonts w:ascii="宋体" w:hAnsi="宋体" w:cs="Arial"/>
                <w:color w:val="auto"/>
                <w:szCs w:val="21"/>
                <w:highlight w:val="none"/>
              </w:rPr>
              <w:t xml:space="preserve">1.5MM</w:t>
            </w:r>
            <w:r>
              <w:rPr>
                <w:rFonts w:hint="eastAsia" w:ascii="宋体" w:hAnsi="宋体" w:cs="Arial"/>
                <w:color w:val="auto"/>
                <w:szCs w:val="21"/>
                <w:highlight w:val="none"/>
              </w:rPr>
              <w:t xml:space="preserve">热镀锌钢板</w:t>
            </w:r>
            <w:r>
              <w:rPr>
                <w:rFonts w:ascii="宋体" w:hAnsi="宋体" w:cs="Arial"/>
                <w:color w:val="auto"/>
                <w:szCs w:val="21"/>
                <w:highlight w:val="none"/>
              </w:rPr>
              <w:t xml:space="preserve">，表面喷塑，固定螺丝热镀锌</w:t>
            </w:r>
            <w:r>
              <w:rPr>
                <w:rFonts w:hint="eastAsia" w:ascii="宋体" w:hAnsi="宋体" w:cs="Arial"/>
                <w:color w:val="auto"/>
                <w:szCs w:val="21"/>
                <w:highlight w:val="none"/>
              </w:rPr>
              <w:t xml:space="preserve">厚度1.5毫米钢板表面热镀锌、喷塑处理</w:t>
            </w:r>
            <w:r/>
          </w:p>
        </w:tc>
      </w:tr>
      <w:tr>
        <w:trPr>
          <w:trHeight w:val="45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rPr>
                <w:rFonts w:ascii="宋体" w:hAnsi="宋体" w:cs="Arial"/>
                <w:color w:val="auto"/>
                <w:szCs w:val="21"/>
                <w:highlight w:val="none"/>
              </w:rPr>
            </w:pPr>
            <w:r>
              <w:rPr>
                <w:rFonts w:hint="eastAsia" w:ascii="宋体" w:hAnsi="宋体" w:cs="Arial"/>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after="0"/>
              <w:rPr>
                <w:rFonts w:ascii="宋体" w:hAnsi="宋体" w:cs="Arial"/>
                <w:bCs/>
                <w:color w:val="auto"/>
                <w:szCs w:val="21"/>
                <w:highlight w:val="none"/>
              </w:rPr>
            </w:pPr>
            <w:r>
              <w:rPr>
                <w:rFonts w:hint="eastAsia" w:ascii="宋体" w:hAnsi="宋体" w:cs="Arial"/>
                <w:bCs/>
                <w:color w:val="auto"/>
                <w:szCs w:val="21"/>
                <w:highlight w:val="none"/>
              </w:rPr>
              <w:t xml:space="preserve">落地箱</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jc w:val="center"/>
              <w:spacing w:after="0"/>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rPr>
              <w:t xml:space="preserve">（宽）600</w:t>
            </w:r>
            <w:r>
              <w:rPr>
                <w:rFonts w:hint="eastAsia" w:ascii="宋体" w:hAnsi="宋体" w:cs="Arial"/>
                <w:color w:val="auto"/>
                <w:szCs w:val="21"/>
                <w:highlight w:val="none"/>
                <w:lang w:val="en-US" w:eastAsia="zh-CN"/>
              </w:rPr>
              <w:t xml:space="preserve">mm</w:t>
            </w:r>
            <w:r>
              <w:rPr>
                <w:rFonts w:hint="eastAsia" w:ascii="宋体" w:hAnsi="宋体" w:cs="Arial"/>
                <w:color w:val="auto"/>
                <w:szCs w:val="21"/>
                <w:highlight w:val="none"/>
              </w:rPr>
              <w:t xml:space="preserve">×（高）1450</w:t>
            </w:r>
            <w:r>
              <w:rPr>
                <w:rFonts w:hint="eastAsia" w:ascii="宋体" w:hAnsi="宋体" w:cs="Arial"/>
                <w:color w:val="auto"/>
                <w:szCs w:val="21"/>
                <w:highlight w:val="none"/>
                <w:lang w:val="en-US" w:eastAsia="zh-CN"/>
              </w:rPr>
              <w:t xml:space="preserve">mm</w:t>
            </w:r>
            <w:r>
              <w:rPr>
                <w:rFonts w:hint="eastAsia" w:ascii="宋体" w:hAnsi="宋体" w:cs="Arial"/>
                <w:color w:val="auto"/>
                <w:szCs w:val="21"/>
                <w:highlight w:val="none"/>
              </w:rPr>
              <w:t xml:space="preserve">×（深）600</w:t>
            </w:r>
            <w:r>
              <w:rPr>
                <w:rFonts w:hint="eastAsia" w:ascii="宋体" w:hAnsi="宋体" w:cs="Arial"/>
                <w:color w:val="auto"/>
                <w:szCs w:val="21"/>
                <w:highlight w:val="none"/>
                <w:lang w:val="en-US" w:eastAsia="zh-CN"/>
              </w:rPr>
              <w:t xml:space="preserve">mm</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rPr>
                <w:rFonts w:ascii="宋体" w:hAnsi="宋体" w:cs="Arial"/>
                <w:color w:val="auto"/>
                <w:szCs w:val="21"/>
                <w:highlight w:val="none"/>
              </w:rPr>
            </w:pPr>
            <w:r>
              <w:rPr>
                <w:rFonts w:hint="eastAsia" w:ascii="宋体" w:hAnsi="宋体" w:cs="Arial"/>
                <w:color w:val="auto"/>
                <w:szCs w:val="21"/>
                <w:highlight w:val="none"/>
              </w:rPr>
              <w:t xml:space="preserve">只</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spacing w:after="0"/>
              <w:rPr>
                <w:rFonts w:hint="eastAsia" w:ascii="宋体" w:hAnsi="宋体" w:cs="Arial"/>
                <w:color w:val="auto"/>
                <w:szCs w:val="21"/>
                <w:highlight w:val="none"/>
              </w:rPr>
            </w:pPr>
            <w:r>
              <w:rPr>
                <w:rFonts w:hint="eastAsia" w:ascii="宋体" w:hAnsi="宋体" w:cs="Arial"/>
                <w:color w:val="auto"/>
                <w:szCs w:val="21"/>
                <w:highlight w:val="none"/>
              </w:rPr>
              <w:t xml:space="preserve">1.5MM热镀锌钢板，表面喷塑后采用彩绘处理，保持与周边环境协调</w:t>
            </w:r>
            <w:r>
              <w:rPr>
                <w:rFonts w:hint="eastAsia" w:ascii="宋体" w:hAnsi="宋体" w:cs="Arial"/>
                <w:color w:val="auto"/>
                <w:szCs w:val="21"/>
                <w:highlight w:val="none"/>
                <w:lang w:eastAsia="zh-CN"/>
              </w:rPr>
              <w:t xml:space="preserve">。</w:t>
            </w:r>
            <w:r/>
          </w:p>
        </w:tc>
      </w:tr>
      <w:tr>
        <w:trPr>
          <w:trHeight w:val="315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7845" w:type="dxa"/>
            <w:vAlign w:val="bottom"/>
            <w:textDirection w:val="lrTb"/>
            <w:noWrap w:val="false"/>
          </w:tcPr>
          <w:p>
            <w:pPr>
              <w:spacing w:after="0"/>
              <w:rPr>
                <w:rFonts w:hint="eastAsia" w:ascii="宋体" w:hAnsi="宋体" w:cs="Arial"/>
                <w:szCs w:val="21"/>
                <w:highlight w:val="none"/>
              </w:rPr>
            </w:pPr>
            <w:r>
              <w:rPr>
                <w:rFonts w:hint="eastAsia" w:ascii="宋体" w:hAnsi="宋体" w:cs="Arial"/>
                <w:szCs w:val="21"/>
                <w:highlight w:val="none"/>
              </w:rPr>
              <w:t xml:space="preserve">控制箱内安装空开、防雷、4个插座、2路220V输出端子、风扇、5路DC12V、4路DC36V；北斗定位；市电断电检测；传输网络断网检测；摄像机故障掉线检测；网络故障重启修复；补光灯状态检测（白天异常开启和晚上没正常打开）；远程定时控制供电（开、关、重启）；柜门防盗；电量检测；非法取电告警；温湿度检测；风扇温控；姿态检测、撞击告警、倾斜告警</w:t>
            </w:r>
            <w:r>
              <w:rPr>
                <w:rFonts w:hint="eastAsia" w:ascii="宋体" w:hAnsi="宋体" w:cs="Arial"/>
                <w:szCs w:val="21"/>
                <w:highlight w:val="none"/>
                <w:lang w:eastAsia="zh-CN"/>
              </w:rPr>
              <w:t xml:space="preserve">。</w:t>
            </w:r>
            <w:r>
              <w:rPr>
                <w:rFonts w:hint="eastAsia" w:ascii="宋体" w:hAnsi="宋体" w:cs="Arial"/>
                <w:szCs w:val="21"/>
                <w:highlight w:val="none"/>
              </w:rPr>
              <w:t xml:space="preserve">内部机架式设计、底部按要求预留300平方厘米以上散热孔以及过滤网，顶部配置双套温度自控散热风扇；控制箱具备智能管理模块：1.北斗定位，2.市电断电检测，3.传输网络断网检测。</w:t>
            </w:r>
            <w:r/>
          </w:p>
          <w:p>
            <w:pPr>
              <w:spacing w:after="0"/>
              <w:rPr>
                <w:highlight w:val="none"/>
              </w:rPr>
            </w:pPr>
            <w:r>
              <w:rPr>
                <w:rFonts w:hint="eastAsia" w:ascii="宋体" w:hAnsi="宋体" w:cs="Arial"/>
                <w:szCs w:val="21"/>
                <w:highlight w:val="none"/>
              </w:rPr>
              <w:t xml:space="preserve">落地箱内安装顶部散热、防雨、恒温风扇，三层托板、三眼八位机架式防雷插座、防浪涌保护器、空开；砖砌基础高度0.8米，地面地下各一半；基础内外粉刷、箱体表面彩绘。</w:t>
            </w:r>
            <w:r/>
          </w:p>
        </w:tc>
      </w:tr>
    </w:tbl>
    <w:p>
      <w:pPr>
        <w:pStyle w:val="934"/>
        <w:ind w:firstLine="420"/>
        <w:rPr>
          <w:rFonts w:hint="eastAsia" w:asciiTheme="minorEastAsia" w:hAnsiTheme="minorEastAsia"/>
          <w:highlight w:val="none"/>
        </w:rPr>
      </w:pPr>
      <w:r>
        <w:rPr>
          <w:rFonts w:hint="eastAsia" w:asciiTheme="minorEastAsia" w:hAnsiTheme="minorEastAsia"/>
          <w:highlight w:val="none"/>
        </w:rPr>
        <w:t xml:space="preserve">所有监控杆件和控制箱由中标人承建，按仪征市公安局要求贴上标牌。</w:t>
      </w:r>
      <w:r/>
    </w:p>
    <w:p>
      <w:pPr>
        <w:ind w:firstLine="482"/>
        <w:jc w:val="left"/>
        <w:spacing w:line="520" w:lineRule="exact"/>
        <w:rPr>
          <w:rFonts w:ascii="宋体" w:hAnsi="宋体" w:cs="宋体"/>
          <w:b/>
          <w:bCs/>
          <w:sz w:val="24"/>
          <w:highlight w:val="none"/>
        </w:rPr>
      </w:pP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、后端设备技术参数要求</w:t>
      </w:r>
      <w:r/>
    </w:p>
    <w:p>
      <w:pPr>
        <w:pStyle w:val="934"/>
        <w:ind w:firstLine="420"/>
        <w:rPr>
          <w:rFonts w:asciiTheme="minorEastAsia" w:hAnsiTheme="minorEastAsia"/>
          <w:b/>
          <w:bCs/>
          <w:i/>
          <w:iCs/>
          <w:highlight w:val="none"/>
          <w:u w:val="single"/>
        </w:rPr>
      </w:pPr>
      <w:r>
        <w:rPr>
          <w:rFonts w:hint="eastAsia" w:asciiTheme="minorEastAsia" w:hAnsiTheme="minorEastAsia"/>
          <w:b/>
          <w:bCs/>
          <w:i/>
          <w:iCs/>
          <w:highlight w:val="none"/>
          <w:u w:val="single"/>
        </w:rPr>
        <w:t xml:space="preserve">设备接入服务器、以太网交换机必须满足【财库〔2023〕7号】财政部 生态环境部 工业和信息化部关于印发《绿色数据中心政府采购需求标准（试行）》的通知中的服务器及存储设备等政府采购需求标准；【投标人需按技术参数要求内容填写《技术参数响应及偏离表》并提供承诺函，加盖公章扫描上传】</w:t>
      </w:r>
      <w:r/>
    </w:p>
    <w:p>
      <w:pPr>
        <w:pStyle w:val="934"/>
        <w:ind w:firstLine="420"/>
        <w:rPr>
          <w:rFonts w:asciiTheme="minorEastAsia" w:hAnsiTheme="minorEastAsia"/>
          <w:b/>
          <w:bCs/>
          <w:highlight w:val="none"/>
        </w:rPr>
      </w:pPr>
      <w:r>
        <w:rPr>
          <w:rFonts w:hint="eastAsia" w:asciiTheme="minorEastAsia" w:hAnsiTheme="minorEastAsia"/>
          <w:b/>
          <w:bCs/>
          <w:highlight w:val="none"/>
        </w:rPr>
        <w:t xml:space="preserve">采购人应当在履约验收中对中标人提供的产品或服务进行抽查检测，必要时可委托取得相关资质的第三方机构对其进行检测、认证。因检测、认证涉及生产过程或检测时间长等原因，不能在验收过程中开展检测、认证的，可要求中标人在验收阶段提供相关检测报告、认证报告。</w:t>
      </w:r>
      <w:r/>
    </w:p>
    <w:p>
      <w:pPr>
        <w:ind w:firstLine="482"/>
        <w:jc w:val="left"/>
        <w:spacing w:line="520" w:lineRule="exact"/>
        <w:rPr>
          <w:rFonts w:ascii="宋体" w:hAnsi="宋体" w:cs="宋体"/>
          <w:b/>
          <w:bCs/>
          <w:sz w:val="24"/>
          <w:highlight w:val="none"/>
        </w:rPr>
      </w:pPr>
      <w:r/>
      <w:bookmarkStart w:id="59" w:name="OLE_LINK9"/>
      <w:r>
        <w:rPr>
          <w:rFonts w:hint="eastAsia" w:ascii="宋体" w:hAnsi="宋体" w:cs="宋体"/>
          <w:b/>
          <w:bCs/>
          <w:sz w:val="24"/>
          <w:highlight w:val="none"/>
        </w:rPr>
        <w:t xml:space="preserve">绿色数据中心服务器及存储设备技术指标要求</w:t>
      </w:r>
      <w:bookmarkEnd w:id="59"/>
      <w:r>
        <w:rPr>
          <w:rFonts w:hint="eastAsia" w:ascii="宋体" w:hAnsi="宋体" w:cs="宋体"/>
          <w:b/>
          <w:bCs/>
          <w:sz w:val="24"/>
          <w:highlight w:val="none"/>
        </w:rPr>
        <w:t xml:space="preserve">：</w:t>
      </w:r>
      <w:r/>
    </w:p>
    <w:tbl>
      <w:tblPr>
        <w:tblStyle w:val="878"/>
        <w:tblW w:w="85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480"/>
        <w:gridCol w:w="1464"/>
        <w:gridCol w:w="1836"/>
        <w:gridCol w:w="1275"/>
        <w:gridCol w:w="2985"/>
      </w:tblGrid>
      <w:tr>
        <w:trPr/>
        <w:tc>
          <w:tcPr>
            <w:shd w:val="clear" w:color="auto" w:fill="auto"/>
            <w:tcW w:w="480" w:type="dxa"/>
            <w:textDirection w:val="lrTb"/>
            <w:noWrap w:val="false"/>
          </w:tcPr>
          <w:p>
            <w:pPr>
              <w:jc w:val="cente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gridSpan w:val="3"/>
            <w:shd w:val="clear" w:color="auto" w:fill="d8d8d8"/>
            <w:tcW w:w="3780" w:type="dxa"/>
            <w:vAlign w:val="center"/>
            <w:textDirection w:val="lrTb"/>
            <w:noWrap w:val="false"/>
          </w:tcPr>
          <w:p>
            <w:pPr>
              <w:jc w:val="center"/>
              <w:spacing w:after="0" w:line="276"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指标</w:t>
            </w:r>
            <w:r/>
          </w:p>
        </w:tc>
        <w:tc>
          <w:tcPr>
            <w:shd w:val="clear" w:color="auto" w:fill="d8d8d8"/>
            <w:tcW w:w="1275" w:type="dxa"/>
            <w:vAlign w:val="center"/>
            <w:textDirection w:val="lrTb"/>
            <w:noWrap w:val="false"/>
          </w:tcPr>
          <w:p>
            <w:pPr>
              <w:jc w:val="center"/>
              <w:spacing w:after="0" w:line="276"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限制值</w:t>
            </w:r>
            <w:r/>
          </w:p>
        </w:tc>
        <w:tc>
          <w:tcPr>
            <w:shd w:val="clear" w:color="auto" w:fill="d8d8d8"/>
            <w:tcW w:w="2985" w:type="dxa"/>
            <w:vAlign w:val="center"/>
            <w:textDirection w:val="lrTb"/>
            <w:noWrap w:val="false"/>
          </w:tcPr>
          <w:p>
            <w:pPr>
              <w:jc w:val="center"/>
              <w:spacing w:after="0" w:line="276"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判定依据</w:t>
            </w:r>
            <w:r>
              <w:rPr>
                <w:rFonts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方法</w:t>
            </w:r>
            <w:r/>
          </w:p>
        </w:tc>
      </w:tr>
      <w:tr>
        <w:trPr>
          <w:trHeight w:val="611"/>
        </w:trPr>
        <w:tc>
          <w:tcPr>
            <w:shd w:val="clear" w:color="auto" w:fill="auto"/>
            <w:tcW w:w="480" w:type="dxa"/>
            <w:vAlign w:val="center"/>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1</w:t>
            </w:r>
            <w:r/>
          </w:p>
        </w:tc>
        <w:tc>
          <w:tcPr>
            <w:gridSpan w:val="3"/>
            <w:shd w:val="clear" w:color="auto" w:fill="auto"/>
            <w:tcW w:w="3780" w:type="dxa"/>
            <w:vAlign w:val="center"/>
            <w:textDirection w:val="lrTb"/>
            <w:noWrap w:val="false"/>
          </w:tcPr>
          <w:p>
            <w:pP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产品可再生利用率</w:t>
            </w:r>
            <w:r/>
          </w:p>
        </w:tc>
        <w:tc>
          <w:tcPr>
            <w:shd w:val="clear" w:color="auto" w:fill="auto"/>
            <w:tcW w:w="1275" w:type="dxa"/>
            <w:vAlign w:val="center"/>
            <w:textDirection w:val="lrTb"/>
            <w:noWrap w:val="false"/>
          </w:tcPr>
          <w:p>
            <w:pPr>
              <w:jc w:val="cente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w:t>
            </w:r>
            <w:r>
              <w:rPr>
                <w:rFonts w:ascii="宋体" w:hAnsi="宋体" w:cs="宋体"/>
                <w:i/>
                <w:iCs/>
                <w:color w:val="000000"/>
                <w:szCs w:val="21"/>
                <w:highlight w:val="none"/>
                <w:u w:val="single"/>
              </w:rPr>
              <w:t xml:space="preserve">80%</w:t>
            </w:r>
            <w:r/>
          </w:p>
        </w:tc>
        <w:tc>
          <w:tcPr>
            <w:shd w:val="clear" w:color="auto" w:fill="auto"/>
            <w:tcW w:w="2985" w:type="dxa"/>
            <w:vAlign w:val="center"/>
            <w:textDirection w:val="lrTb"/>
            <w:noWrap w:val="false"/>
          </w:tcPr>
          <w:p>
            <w:pP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根据</w:t>
            </w:r>
            <w:r>
              <w:rPr>
                <w:rFonts w:ascii="宋体" w:hAnsi="宋体" w:cs="宋体"/>
                <w:i/>
                <w:iCs/>
                <w:color w:val="000000"/>
                <w:szCs w:val="21"/>
                <w:highlight w:val="none"/>
                <w:u w:val="single"/>
              </w:rPr>
              <w:t xml:space="preserve">GB/T 32355.2</w:t>
            </w:r>
            <w:r>
              <w:rPr>
                <w:rFonts w:hint="eastAsia" w:ascii="宋体" w:hAnsi="宋体" w:cs="宋体"/>
                <w:i/>
                <w:iCs/>
                <w:color w:val="000000"/>
                <w:szCs w:val="21"/>
                <w:highlight w:val="none"/>
                <w:u w:val="single"/>
              </w:rPr>
              <w:t xml:space="preserve">及附录</w:t>
            </w:r>
            <w:r>
              <w:rPr>
                <w:rFonts w:ascii="宋体" w:hAnsi="宋体" w:cs="宋体"/>
                <w:i/>
                <w:iCs/>
                <w:color w:val="000000"/>
                <w:szCs w:val="21"/>
                <w:highlight w:val="none"/>
                <w:u w:val="single"/>
              </w:rPr>
              <w:t xml:space="preserve">C</w:t>
            </w:r>
            <w:r>
              <w:rPr>
                <w:rFonts w:hint="eastAsia" w:ascii="宋体" w:hAnsi="宋体" w:cs="宋体"/>
                <w:i/>
                <w:iCs/>
                <w:color w:val="000000"/>
                <w:szCs w:val="21"/>
                <w:highlight w:val="none"/>
                <w:u w:val="single"/>
              </w:rPr>
              <w:t xml:space="preserve">要求进行判定</w:t>
            </w:r>
            <w:r/>
          </w:p>
        </w:tc>
      </w:tr>
      <w:tr>
        <w:trPr>
          <w:trHeight w:val="85"/>
        </w:trPr>
        <w:tc>
          <w:tcPr>
            <w:shd w:val="clear" w:color="auto" w:fill="auto"/>
            <w:tcW w:w="480" w:type="dxa"/>
            <w:vAlign w:val="center"/>
            <w:vMerge w:val="restart"/>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w:t>
            </w:r>
            <w:r/>
          </w:p>
        </w:tc>
        <w:tc>
          <w:tcPr>
            <w:shd w:val="clear" w:color="auto" w:fill="auto"/>
            <w:tcW w:w="480" w:type="dxa"/>
            <w:vAlign w:val="center"/>
            <w:vMerge w:val="restart"/>
            <w:textDirection w:val="lrTb"/>
            <w:noWrap w:val="false"/>
          </w:tcPr>
          <w:p>
            <w:pP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供电模块效率</w:t>
            </w:r>
            <w:r/>
          </w:p>
        </w:tc>
        <w:tc>
          <w:tcPr>
            <w:shd w:val="clear" w:color="auto" w:fill="auto"/>
            <w:tcW w:w="1464" w:type="dxa"/>
            <w:vAlign w:val="center"/>
            <w:vMerge w:val="restart"/>
            <w:textDirection w:val="lrTb"/>
            <w:noWrap w:val="false"/>
          </w:tcPr>
          <w:p>
            <w:pPr>
              <w:spacing w:after="0" w:line="276" w:lineRule="auto"/>
              <w:rPr>
                <w:rFonts w:ascii="宋体" w:hAnsi="宋体" w:cs="宋体"/>
                <w:i/>
                <w:iCs/>
                <w:color w:val="000000"/>
                <w:szCs w:val="21"/>
                <w:highlight w:val="none"/>
                <w:u w:val="single"/>
              </w:rPr>
            </w:pPr>
            <w:r>
              <w:rPr>
                <w:rFonts w:ascii="宋体" w:hAnsi="宋体" w:cs="宋体"/>
                <w:i/>
                <w:iCs/>
                <w:color w:val="000000"/>
                <w:szCs w:val="21"/>
                <w:highlight w:val="none"/>
                <w:u w:val="single"/>
              </w:rPr>
              <w:t xml:space="preserve">20%</w:t>
            </w:r>
            <w:r>
              <w:rPr>
                <w:rFonts w:hint="eastAsia" w:ascii="宋体" w:hAnsi="宋体" w:cs="宋体"/>
                <w:i/>
                <w:iCs/>
                <w:color w:val="000000"/>
                <w:szCs w:val="21"/>
                <w:highlight w:val="none"/>
                <w:u w:val="single"/>
              </w:rPr>
              <w:t xml:space="preserve">负载率</w:t>
            </w:r>
            <w:r/>
          </w:p>
        </w:tc>
        <w:tc>
          <w:tcPr>
            <w:shd w:val="clear" w:color="auto" w:fill="auto"/>
            <w:tcW w:w="1836" w:type="dxa"/>
            <w:vAlign w:val="center"/>
            <w:textDirection w:val="lrTb"/>
            <w:noWrap w:val="false"/>
          </w:tcPr>
          <w:p>
            <w:pP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电源效率</w:t>
            </w:r>
            <w:r/>
          </w:p>
        </w:tc>
        <w:tc>
          <w:tcPr>
            <w:shd w:val="clear" w:color="auto" w:fill="auto"/>
            <w:tcW w:w="1275" w:type="dxa"/>
            <w:vAlign w:val="center"/>
            <w:textDirection w:val="lrTb"/>
            <w:noWrap w:val="false"/>
          </w:tcPr>
          <w:p>
            <w:pPr>
              <w:jc w:val="cente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w:t>
            </w:r>
            <w:r>
              <w:rPr>
                <w:rFonts w:ascii="宋体" w:hAnsi="宋体" w:cs="宋体"/>
                <w:i/>
                <w:iCs/>
                <w:color w:val="000000"/>
                <w:szCs w:val="21"/>
                <w:highlight w:val="none"/>
                <w:u w:val="single"/>
              </w:rPr>
              <w:t xml:space="preserve">90%</w:t>
            </w:r>
            <w:r/>
          </w:p>
        </w:tc>
        <w:tc>
          <w:tcPr>
            <w:shd w:val="clear" w:color="auto" w:fill="auto"/>
            <w:tcW w:w="2985" w:type="dxa"/>
            <w:vAlign w:val="center"/>
            <w:vMerge w:val="restart"/>
            <w:textDirection w:val="lrTb"/>
            <w:noWrap w:val="false"/>
          </w:tcPr>
          <w:p>
            <w:pP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检测方法按照</w:t>
            </w:r>
            <w:r>
              <w:rPr>
                <w:rFonts w:ascii="宋体" w:hAnsi="宋体" w:cs="宋体"/>
                <w:i/>
                <w:iCs/>
                <w:color w:val="000000"/>
                <w:szCs w:val="21"/>
                <w:highlight w:val="none"/>
                <w:u w:val="single"/>
              </w:rPr>
              <w:t xml:space="preserve">HJ 2507</w:t>
            </w:r>
            <w:r>
              <w:rPr>
                <w:rFonts w:hint="eastAsia" w:ascii="宋体" w:hAnsi="宋体" w:cs="宋体"/>
                <w:i/>
                <w:iCs/>
                <w:color w:val="000000"/>
                <w:szCs w:val="21"/>
                <w:highlight w:val="none"/>
                <w:u w:val="single"/>
              </w:rPr>
              <w:t xml:space="preserve">附录</w:t>
            </w:r>
            <w:r>
              <w:rPr>
                <w:rFonts w:ascii="宋体" w:hAnsi="宋体" w:cs="宋体"/>
                <w:i/>
                <w:iCs/>
                <w:color w:val="000000"/>
                <w:szCs w:val="21"/>
                <w:highlight w:val="none"/>
                <w:u w:val="single"/>
              </w:rPr>
              <w:t xml:space="preserve">B</w:t>
            </w:r>
            <w:r>
              <w:rPr>
                <w:rFonts w:hint="eastAsia" w:ascii="宋体" w:hAnsi="宋体" w:cs="宋体"/>
                <w:i/>
                <w:iCs/>
                <w:color w:val="000000"/>
                <w:szCs w:val="21"/>
                <w:highlight w:val="none"/>
                <w:u w:val="single"/>
              </w:rPr>
              <w:t xml:space="preserve">要求执行</w:t>
            </w:r>
            <w:r/>
          </w:p>
        </w:tc>
      </w:tr>
      <w:tr>
        <w:trPr>
          <w:trHeight w:val="85"/>
        </w:trPr>
        <w:tc>
          <w:tcPr>
            <w:shd w:val="clear" w:color="auto" w:fill="auto"/>
            <w:tcW w:w="480" w:type="dxa"/>
            <w:vAlign w:val="center"/>
            <w:vMerge w:val="continue"/>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shd w:val="clear" w:color="auto" w:fill="auto"/>
            <w:tcW w:w="480" w:type="dxa"/>
            <w:vAlign w:val="center"/>
            <w:vMerge w:val="continue"/>
            <w:textDirection w:val="lrTb"/>
            <w:noWrap w:val="false"/>
          </w:tcPr>
          <w:p>
            <w:pPr>
              <w:spacing w:after="0" w:line="276" w:lineRule="auto"/>
              <w:rPr>
                <w:rFonts w:ascii="宋体" w:hAnsi="宋体" w:cs="宋体"/>
                <w:i/>
                <w:iCs/>
                <w:color w:val="000000"/>
                <w:szCs w:val="21"/>
                <w:highlight w:val="none"/>
                <w:u w:val="single"/>
              </w:rPr>
            </w:pPr>
            <w:r>
              <w:rPr>
                <w:rFonts w:ascii="宋体" w:hAnsi="宋体" w:cs="宋体"/>
                <w:i/>
                <w:iCs/>
                <w:color w:val="000000"/>
                <w:szCs w:val="21"/>
                <w:highlight w:val="none"/>
                <w:u w:val="single"/>
              </w:rPr>
            </w:r>
            <w:r/>
          </w:p>
        </w:tc>
        <w:tc>
          <w:tcPr>
            <w:shd w:val="clear" w:color="auto" w:fill="auto"/>
            <w:tcW w:w="1464" w:type="dxa"/>
            <w:vAlign w:val="center"/>
            <w:vMerge w:val="continue"/>
            <w:textDirection w:val="lrTb"/>
            <w:noWrap w:val="false"/>
          </w:tcPr>
          <w:p>
            <w:pPr>
              <w:spacing w:after="0" w:line="276" w:lineRule="auto"/>
              <w:rPr>
                <w:rFonts w:ascii="宋体" w:hAnsi="宋体" w:cs="宋体"/>
                <w:i/>
                <w:iCs/>
                <w:color w:val="000000"/>
                <w:szCs w:val="21"/>
                <w:highlight w:val="none"/>
                <w:u w:val="single"/>
              </w:rPr>
            </w:pPr>
            <w:r>
              <w:rPr>
                <w:rFonts w:ascii="宋体" w:hAnsi="宋体" w:cs="宋体"/>
                <w:i/>
                <w:iCs/>
                <w:color w:val="000000"/>
                <w:szCs w:val="21"/>
                <w:highlight w:val="none"/>
                <w:u w:val="single"/>
              </w:rPr>
            </w:r>
            <w:r/>
          </w:p>
        </w:tc>
        <w:tc>
          <w:tcPr>
            <w:shd w:val="clear" w:color="auto" w:fill="auto"/>
            <w:tcW w:w="1836" w:type="dxa"/>
            <w:vAlign w:val="center"/>
            <w:textDirection w:val="lrTb"/>
            <w:noWrap w:val="false"/>
          </w:tcPr>
          <w:p>
            <w:pP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功率因数（</w:t>
            </w:r>
            <w:r>
              <w:rPr>
                <w:rFonts w:ascii="宋体" w:hAnsi="宋体" w:cs="宋体"/>
                <w:i/>
                <w:iCs/>
                <w:color w:val="000000"/>
                <w:szCs w:val="21"/>
                <w:highlight w:val="none"/>
                <w:u w:val="single"/>
              </w:rPr>
              <w:t xml:space="preserve">PF</w:t>
            </w:r>
            <w:r>
              <w:rPr>
                <w:rFonts w:hint="eastAsia" w:ascii="宋体" w:hAnsi="宋体" w:cs="宋体"/>
                <w:i/>
                <w:iCs/>
                <w:color w:val="000000"/>
                <w:szCs w:val="21"/>
                <w:highlight w:val="none"/>
                <w:u w:val="single"/>
              </w:rPr>
              <w:t xml:space="preserve">）</w:t>
            </w:r>
            <w:r/>
          </w:p>
        </w:tc>
        <w:tc>
          <w:tcPr>
            <w:shd w:val="clear" w:color="auto" w:fill="auto"/>
            <w:tcW w:w="1275" w:type="dxa"/>
            <w:vAlign w:val="center"/>
            <w:textDirection w:val="lrTb"/>
            <w:noWrap w:val="false"/>
          </w:tcPr>
          <w:p>
            <w:pPr>
              <w:jc w:val="cente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w:t>
            </w:r>
            <w:r>
              <w:rPr>
                <w:rFonts w:ascii="宋体" w:hAnsi="宋体" w:cs="宋体"/>
                <w:i/>
                <w:iCs/>
                <w:color w:val="000000"/>
                <w:szCs w:val="21"/>
                <w:highlight w:val="none"/>
                <w:u w:val="single"/>
              </w:rPr>
              <w:t xml:space="preserve">0.95</w:t>
            </w:r>
            <w:r/>
          </w:p>
        </w:tc>
        <w:tc>
          <w:tcPr>
            <w:shd w:val="clear" w:color="auto" w:fill="auto"/>
            <w:tcW w:w="2985" w:type="dxa"/>
            <w:vAlign w:val="center"/>
            <w:vMerge w:val="continue"/>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trHeight w:val="85"/>
        </w:trPr>
        <w:tc>
          <w:tcPr>
            <w:shd w:val="clear" w:color="auto" w:fill="auto"/>
            <w:tcW w:w="480" w:type="dxa"/>
            <w:vAlign w:val="center"/>
            <w:vMerge w:val="continue"/>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shd w:val="clear" w:color="auto" w:fill="auto"/>
            <w:tcW w:w="480" w:type="dxa"/>
            <w:vAlign w:val="center"/>
            <w:vMerge w:val="continue"/>
            <w:textDirection w:val="lrTb"/>
            <w:noWrap w:val="false"/>
          </w:tcPr>
          <w:p>
            <w:pPr>
              <w:spacing w:after="0" w:line="276" w:lineRule="auto"/>
              <w:rPr>
                <w:rFonts w:ascii="宋体" w:hAnsi="宋体" w:cs="宋体"/>
                <w:i/>
                <w:iCs/>
                <w:color w:val="000000"/>
                <w:szCs w:val="21"/>
                <w:highlight w:val="none"/>
                <w:u w:val="single"/>
              </w:rPr>
            </w:pPr>
            <w:r>
              <w:rPr>
                <w:rFonts w:ascii="宋体" w:hAnsi="宋体" w:cs="宋体"/>
                <w:i/>
                <w:iCs/>
                <w:color w:val="000000"/>
                <w:szCs w:val="21"/>
                <w:highlight w:val="none"/>
                <w:u w:val="single"/>
              </w:rPr>
            </w:r>
            <w:r/>
          </w:p>
        </w:tc>
        <w:tc>
          <w:tcPr>
            <w:shd w:val="clear" w:color="auto" w:fill="auto"/>
            <w:tcW w:w="1464" w:type="dxa"/>
            <w:vAlign w:val="center"/>
            <w:vMerge w:val="restart"/>
            <w:textDirection w:val="lrTb"/>
            <w:noWrap w:val="false"/>
          </w:tcPr>
          <w:p>
            <w:pPr>
              <w:spacing w:after="0" w:line="276" w:lineRule="auto"/>
              <w:rPr>
                <w:rFonts w:ascii="宋体" w:hAnsi="宋体" w:cs="宋体"/>
                <w:i/>
                <w:iCs/>
                <w:color w:val="000000"/>
                <w:szCs w:val="21"/>
                <w:highlight w:val="none"/>
                <w:u w:val="single"/>
              </w:rPr>
            </w:pPr>
            <w:r>
              <w:rPr>
                <w:rFonts w:ascii="宋体" w:hAnsi="宋体" w:cs="宋体"/>
                <w:i/>
                <w:iCs/>
                <w:color w:val="000000"/>
                <w:szCs w:val="21"/>
                <w:highlight w:val="none"/>
                <w:u w:val="single"/>
              </w:rPr>
              <w:t xml:space="preserve">50%</w:t>
            </w:r>
            <w:r>
              <w:rPr>
                <w:rFonts w:hint="eastAsia" w:ascii="宋体" w:hAnsi="宋体" w:cs="宋体"/>
                <w:i/>
                <w:iCs/>
                <w:color w:val="000000"/>
                <w:szCs w:val="21"/>
                <w:highlight w:val="none"/>
                <w:u w:val="single"/>
              </w:rPr>
              <w:t xml:space="preserve">负载率</w:t>
            </w:r>
            <w:r/>
          </w:p>
        </w:tc>
        <w:tc>
          <w:tcPr>
            <w:shd w:val="clear" w:color="auto" w:fill="auto"/>
            <w:tcW w:w="1836" w:type="dxa"/>
            <w:vAlign w:val="center"/>
            <w:textDirection w:val="lrTb"/>
            <w:noWrap w:val="false"/>
          </w:tcPr>
          <w:p>
            <w:pP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电源效率</w:t>
            </w:r>
            <w:r/>
          </w:p>
        </w:tc>
        <w:tc>
          <w:tcPr>
            <w:shd w:val="clear" w:color="auto" w:fill="auto"/>
            <w:tcW w:w="1275" w:type="dxa"/>
            <w:vAlign w:val="center"/>
            <w:textDirection w:val="lrTb"/>
            <w:noWrap w:val="false"/>
          </w:tcPr>
          <w:p>
            <w:pPr>
              <w:jc w:val="cente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w:t>
            </w:r>
            <w:r>
              <w:rPr>
                <w:rFonts w:ascii="宋体" w:hAnsi="宋体" w:cs="宋体"/>
                <w:i/>
                <w:iCs/>
                <w:color w:val="000000"/>
                <w:szCs w:val="21"/>
                <w:highlight w:val="none"/>
                <w:u w:val="single"/>
              </w:rPr>
              <w:t xml:space="preserve">94%</w:t>
            </w:r>
            <w:r/>
          </w:p>
        </w:tc>
        <w:tc>
          <w:tcPr>
            <w:shd w:val="clear" w:color="auto" w:fill="auto"/>
            <w:tcW w:w="2985" w:type="dxa"/>
            <w:vAlign w:val="center"/>
            <w:vMerge w:val="continue"/>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trHeight w:val="85"/>
        </w:trPr>
        <w:tc>
          <w:tcPr>
            <w:shd w:val="clear" w:color="auto" w:fill="auto"/>
            <w:tcW w:w="480" w:type="dxa"/>
            <w:vAlign w:val="center"/>
            <w:vMerge w:val="continue"/>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shd w:val="clear" w:color="auto" w:fill="auto"/>
            <w:tcW w:w="480" w:type="dxa"/>
            <w:vAlign w:val="center"/>
            <w:vMerge w:val="continue"/>
            <w:textDirection w:val="lrTb"/>
            <w:noWrap w:val="false"/>
          </w:tcPr>
          <w:p>
            <w:pPr>
              <w:spacing w:after="0" w:line="276" w:lineRule="auto"/>
              <w:rPr>
                <w:rFonts w:ascii="宋体" w:hAnsi="宋体" w:cs="宋体"/>
                <w:i/>
                <w:iCs/>
                <w:color w:val="000000"/>
                <w:szCs w:val="21"/>
                <w:highlight w:val="none"/>
                <w:u w:val="single"/>
              </w:rPr>
            </w:pPr>
            <w:r>
              <w:rPr>
                <w:rFonts w:ascii="宋体" w:hAnsi="宋体" w:cs="宋体"/>
                <w:i/>
                <w:iCs/>
                <w:color w:val="000000"/>
                <w:szCs w:val="21"/>
                <w:highlight w:val="none"/>
                <w:u w:val="single"/>
              </w:rPr>
            </w:r>
            <w:r/>
          </w:p>
        </w:tc>
        <w:tc>
          <w:tcPr>
            <w:shd w:val="clear" w:color="auto" w:fill="auto"/>
            <w:tcW w:w="1464" w:type="dxa"/>
            <w:vAlign w:val="center"/>
            <w:vMerge w:val="continue"/>
            <w:textDirection w:val="lrTb"/>
            <w:noWrap w:val="false"/>
          </w:tcPr>
          <w:p>
            <w:pPr>
              <w:spacing w:after="0" w:line="276" w:lineRule="auto"/>
              <w:rPr>
                <w:rFonts w:ascii="宋体" w:hAnsi="宋体" w:cs="宋体"/>
                <w:i/>
                <w:iCs/>
                <w:color w:val="000000"/>
                <w:szCs w:val="21"/>
                <w:highlight w:val="none"/>
                <w:u w:val="single"/>
              </w:rPr>
            </w:pPr>
            <w:r>
              <w:rPr>
                <w:rFonts w:ascii="宋体" w:hAnsi="宋体" w:cs="宋体"/>
                <w:i/>
                <w:iCs/>
                <w:color w:val="000000"/>
                <w:szCs w:val="21"/>
                <w:highlight w:val="none"/>
                <w:u w:val="single"/>
              </w:rPr>
            </w:r>
            <w:r/>
          </w:p>
        </w:tc>
        <w:tc>
          <w:tcPr>
            <w:shd w:val="clear" w:color="auto" w:fill="auto"/>
            <w:tcW w:w="1836" w:type="dxa"/>
            <w:vAlign w:val="center"/>
            <w:textDirection w:val="lrTb"/>
            <w:noWrap w:val="false"/>
          </w:tcPr>
          <w:p>
            <w:pP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功率因数（</w:t>
            </w:r>
            <w:r>
              <w:rPr>
                <w:rFonts w:ascii="宋体" w:hAnsi="宋体" w:cs="宋体"/>
                <w:i/>
                <w:iCs/>
                <w:color w:val="000000"/>
                <w:szCs w:val="21"/>
                <w:highlight w:val="none"/>
                <w:u w:val="single"/>
              </w:rPr>
              <w:t xml:space="preserve">PF</w:t>
            </w:r>
            <w:r>
              <w:rPr>
                <w:rFonts w:hint="eastAsia" w:ascii="宋体" w:hAnsi="宋体" w:cs="宋体"/>
                <w:i/>
                <w:iCs/>
                <w:color w:val="000000"/>
                <w:szCs w:val="21"/>
                <w:highlight w:val="none"/>
                <w:u w:val="single"/>
              </w:rPr>
              <w:t xml:space="preserve">）</w:t>
            </w:r>
            <w:r/>
          </w:p>
        </w:tc>
        <w:tc>
          <w:tcPr>
            <w:shd w:val="clear" w:color="auto" w:fill="auto"/>
            <w:tcW w:w="1275" w:type="dxa"/>
            <w:vAlign w:val="center"/>
            <w:textDirection w:val="lrTb"/>
            <w:noWrap w:val="false"/>
          </w:tcPr>
          <w:p>
            <w:pPr>
              <w:jc w:val="cente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w:t>
            </w:r>
            <w:r>
              <w:rPr>
                <w:rFonts w:ascii="宋体" w:hAnsi="宋体" w:cs="宋体"/>
                <w:i/>
                <w:iCs/>
                <w:color w:val="000000"/>
                <w:szCs w:val="21"/>
                <w:highlight w:val="none"/>
                <w:u w:val="single"/>
              </w:rPr>
              <w:t xml:space="preserve">0.95</w:t>
            </w:r>
            <w:r/>
          </w:p>
        </w:tc>
        <w:tc>
          <w:tcPr>
            <w:shd w:val="clear" w:color="auto" w:fill="auto"/>
            <w:tcW w:w="2985" w:type="dxa"/>
            <w:vAlign w:val="center"/>
            <w:vMerge w:val="continue"/>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trHeight w:val="85"/>
        </w:trPr>
        <w:tc>
          <w:tcPr>
            <w:shd w:val="clear" w:color="auto" w:fill="auto"/>
            <w:tcW w:w="480" w:type="dxa"/>
            <w:vAlign w:val="center"/>
            <w:vMerge w:val="continue"/>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shd w:val="clear" w:color="auto" w:fill="auto"/>
            <w:tcW w:w="480" w:type="dxa"/>
            <w:vAlign w:val="center"/>
            <w:vMerge w:val="continue"/>
            <w:textDirection w:val="lrTb"/>
            <w:noWrap w:val="false"/>
          </w:tcPr>
          <w:p>
            <w:pPr>
              <w:spacing w:after="0" w:line="276" w:lineRule="auto"/>
              <w:rPr>
                <w:rFonts w:ascii="宋体" w:hAnsi="宋体" w:cs="宋体"/>
                <w:i/>
                <w:iCs/>
                <w:color w:val="000000"/>
                <w:szCs w:val="21"/>
                <w:highlight w:val="none"/>
                <w:u w:val="single"/>
              </w:rPr>
            </w:pPr>
            <w:r>
              <w:rPr>
                <w:rFonts w:ascii="宋体" w:hAnsi="宋体" w:cs="宋体"/>
                <w:i/>
                <w:iCs/>
                <w:color w:val="000000"/>
                <w:szCs w:val="21"/>
                <w:highlight w:val="none"/>
                <w:u w:val="single"/>
              </w:rPr>
            </w:r>
            <w:r/>
          </w:p>
        </w:tc>
        <w:tc>
          <w:tcPr>
            <w:shd w:val="clear" w:color="auto" w:fill="auto"/>
            <w:tcW w:w="1464" w:type="dxa"/>
            <w:vAlign w:val="center"/>
            <w:vMerge w:val="restart"/>
            <w:textDirection w:val="lrTb"/>
            <w:noWrap w:val="false"/>
          </w:tcPr>
          <w:p>
            <w:pPr>
              <w:spacing w:after="0" w:line="276" w:lineRule="auto"/>
              <w:rPr>
                <w:rFonts w:ascii="宋体" w:hAnsi="宋体" w:cs="宋体"/>
                <w:i/>
                <w:iCs/>
                <w:color w:val="000000"/>
                <w:szCs w:val="21"/>
                <w:highlight w:val="none"/>
                <w:u w:val="single"/>
              </w:rPr>
            </w:pPr>
            <w:r>
              <w:rPr>
                <w:rFonts w:ascii="宋体" w:hAnsi="宋体" w:cs="宋体"/>
                <w:i/>
                <w:iCs/>
                <w:color w:val="000000"/>
                <w:szCs w:val="21"/>
                <w:highlight w:val="none"/>
                <w:u w:val="single"/>
              </w:rPr>
              <w:t xml:space="preserve">100%</w:t>
            </w:r>
            <w:r>
              <w:rPr>
                <w:rFonts w:hint="eastAsia" w:ascii="宋体" w:hAnsi="宋体" w:cs="宋体"/>
                <w:i/>
                <w:iCs/>
                <w:color w:val="000000"/>
                <w:szCs w:val="21"/>
                <w:highlight w:val="none"/>
                <w:u w:val="single"/>
              </w:rPr>
              <w:t xml:space="preserve">负载率</w:t>
            </w:r>
            <w:r/>
          </w:p>
        </w:tc>
        <w:tc>
          <w:tcPr>
            <w:shd w:val="clear" w:color="auto" w:fill="auto"/>
            <w:tcW w:w="1836" w:type="dxa"/>
            <w:vAlign w:val="center"/>
            <w:textDirection w:val="lrTb"/>
            <w:noWrap w:val="false"/>
          </w:tcPr>
          <w:p>
            <w:pP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电源效率</w:t>
            </w:r>
            <w:r/>
          </w:p>
        </w:tc>
        <w:tc>
          <w:tcPr>
            <w:shd w:val="clear" w:color="auto" w:fill="auto"/>
            <w:tcW w:w="1275" w:type="dxa"/>
            <w:vAlign w:val="center"/>
            <w:textDirection w:val="lrTb"/>
            <w:noWrap w:val="false"/>
          </w:tcPr>
          <w:p>
            <w:pPr>
              <w:jc w:val="cente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w:t>
            </w:r>
            <w:r>
              <w:rPr>
                <w:rFonts w:ascii="宋体" w:hAnsi="宋体" w:cs="宋体"/>
                <w:i/>
                <w:iCs/>
                <w:color w:val="000000"/>
                <w:szCs w:val="21"/>
                <w:highlight w:val="none"/>
                <w:u w:val="single"/>
              </w:rPr>
              <w:t xml:space="preserve">91%</w:t>
            </w:r>
            <w:r/>
          </w:p>
        </w:tc>
        <w:tc>
          <w:tcPr>
            <w:shd w:val="clear" w:color="auto" w:fill="auto"/>
            <w:tcW w:w="2985" w:type="dxa"/>
            <w:vAlign w:val="center"/>
            <w:vMerge w:val="continue"/>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trHeight w:val="85"/>
        </w:trPr>
        <w:tc>
          <w:tcPr>
            <w:shd w:val="clear" w:color="auto" w:fill="auto"/>
            <w:tcW w:w="480" w:type="dxa"/>
            <w:vAlign w:val="center"/>
            <w:vMerge w:val="continue"/>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shd w:val="clear" w:color="auto" w:fill="auto"/>
            <w:tcW w:w="480" w:type="dxa"/>
            <w:vAlign w:val="center"/>
            <w:vMerge w:val="continue"/>
            <w:textDirection w:val="lrTb"/>
            <w:noWrap w:val="false"/>
          </w:tcPr>
          <w:p>
            <w:pPr>
              <w:spacing w:after="0" w:line="276" w:lineRule="auto"/>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r>
            <w:r/>
          </w:p>
        </w:tc>
        <w:tc>
          <w:tcPr>
            <w:shd w:val="clear" w:color="auto" w:fill="auto"/>
            <w:tcW w:w="1464" w:type="dxa"/>
            <w:vAlign w:val="center"/>
            <w:vMerge w:val="continue"/>
            <w:textDirection w:val="lrTb"/>
            <w:noWrap w:val="false"/>
          </w:tcPr>
          <w:p>
            <w:pPr>
              <w:spacing w:after="0" w:line="276" w:lineRule="auto"/>
              <w:rPr>
                <w:rFonts w:ascii="Times New Roman"/>
                <w:color w:val="000000" w:themeColor="text1"/>
                <w:szCs w:val="21"/>
                <w:highlight w:val="none"/>
                <w14:textFill>
                  <w14:solidFill>
                    <w14:schemeClr w14:val="tx1"/>
                  </w14:solidFill>
                </w14:textFill>
              </w:rPr>
            </w:pPr>
            <w:r>
              <w:rPr>
                <w:rFonts w:ascii="Times New Roman"/>
                <w:color w:val="000000" w:themeColor="text1"/>
                <w:szCs w:val="21"/>
                <w:highlight w:val="none"/>
                <w14:textFill>
                  <w14:solidFill>
                    <w14:schemeClr w14:val="tx1"/>
                  </w14:solidFill>
                </w14:textFill>
              </w:rPr>
            </w:r>
            <w:r/>
          </w:p>
        </w:tc>
        <w:tc>
          <w:tcPr>
            <w:shd w:val="clear" w:color="auto" w:fill="auto"/>
            <w:tcW w:w="1836" w:type="dxa"/>
            <w:vAlign w:val="center"/>
            <w:textDirection w:val="lrTb"/>
            <w:noWrap w:val="false"/>
          </w:tcPr>
          <w:p>
            <w:pP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功率因数（</w:t>
            </w:r>
            <w:r>
              <w:rPr>
                <w:rFonts w:ascii="宋体" w:hAnsi="宋体" w:cs="宋体"/>
                <w:i/>
                <w:iCs/>
                <w:color w:val="000000"/>
                <w:szCs w:val="21"/>
                <w:highlight w:val="none"/>
                <w:u w:val="single"/>
              </w:rPr>
              <w:t xml:space="preserve">PF</w:t>
            </w:r>
            <w:r>
              <w:rPr>
                <w:rFonts w:hint="eastAsia" w:ascii="宋体" w:hAnsi="宋体" w:cs="宋体"/>
                <w:i/>
                <w:iCs/>
                <w:color w:val="000000"/>
                <w:szCs w:val="21"/>
                <w:highlight w:val="none"/>
                <w:u w:val="single"/>
              </w:rPr>
              <w:t xml:space="preserve">）</w:t>
            </w:r>
            <w:r/>
          </w:p>
        </w:tc>
        <w:tc>
          <w:tcPr>
            <w:shd w:val="clear" w:color="auto" w:fill="auto"/>
            <w:tcW w:w="1275" w:type="dxa"/>
            <w:vAlign w:val="center"/>
            <w:textDirection w:val="lrTb"/>
            <w:noWrap w:val="false"/>
          </w:tcPr>
          <w:p>
            <w:pPr>
              <w:jc w:val="center"/>
              <w:spacing w:after="0" w:line="276"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w:t>
            </w:r>
            <w:r>
              <w:rPr>
                <w:rFonts w:ascii="宋体" w:hAnsi="宋体" w:cs="宋体"/>
                <w:i/>
                <w:iCs/>
                <w:color w:val="000000"/>
                <w:szCs w:val="21"/>
                <w:highlight w:val="none"/>
                <w:u w:val="single"/>
              </w:rPr>
              <w:t xml:space="preserve">0.95</w:t>
            </w:r>
            <w:r/>
          </w:p>
        </w:tc>
        <w:tc>
          <w:tcPr>
            <w:shd w:val="clear" w:color="auto" w:fill="auto"/>
            <w:tcW w:w="2985" w:type="dxa"/>
            <w:vAlign w:val="center"/>
            <w:vMerge w:val="continue"/>
            <w:textDirection w:val="lrTb"/>
            <w:noWrap w:val="false"/>
          </w:tcPr>
          <w:p>
            <w:pPr>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bl>
    <w:p>
      <w:pPr>
        <w:pStyle w:val="934"/>
        <w:ind w:firstLine="420"/>
        <w:rPr>
          <w:rFonts w:asciiTheme="minorEastAsia" w:hAnsiTheme="minorEastAsia"/>
          <w:i/>
          <w:iCs/>
          <w:highlight w:val="none"/>
          <w:u w:val="single"/>
        </w:rPr>
      </w:pPr>
      <w:r>
        <w:rPr>
          <w:rFonts w:hint="eastAsia" w:asciiTheme="minorEastAsia" w:hAnsiTheme="minorEastAsia"/>
          <w:i/>
          <w:iCs/>
          <w:highlight w:val="none"/>
          <w:u w:val="single"/>
        </w:rPr>
        <w:t xml:space="preserve">合规性验证方式：查验数据中心提供的第三方检测报告或第三方认证证书。</w:t>
      </w:r>
      <w:r/>
    </w:p>
    <w:p>
      <w:pPr>
        <w:ind w:firstLine="482"/>
        <w:jc w:val="left"/>
        <w:spacing w:line="520" w:lineRule="exact"/>
        <w:rPr>
          <w:rFonts w:ascii="宋体" w:hAnsi="宋体" w:cs="宋体"/>
          <w:b/>
          <w:bCs/>
          <w:sz w:val="24"/>
          <w:highlight w:val="none"/>
        </w:rPr>
      </w:pPr>
      <w:r>
        <w:rPr>
          <w:rFonts w:hint="eastAsia" w:ascii="宋体" w:hAnsi="宋体" w:cs="宋体"/>
          <w:b/>
          <w:bCs/>
          <w:sz w:val="24"/>
          <w:highlight w:val="none"/>
        </w:rPr>
        <w:t xml:space="preserve">绿色数据中心以太网交换机技术指标要求</w:t>
      </w:r>
      <w:r/>
    </w:p>
    <w:tbl>
      <w:tblPr>
        <w:tblStyle w:val="878"/>
        <w:tblW w:w="855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
        <w:gridCol w:w="1950"/>
        <w:gridCol w:w="1825"/>
        <w:gridCol w:w="1266"/>
        <w:gridCol w:w="3014"/>
      </w:tblGrid>
      <w:tr>
        <w:trPr/>
        <w:tc>
          <w:tcPr>
            <w:tcBorders>
              <w:top w:val="single" w:color="auto" w:sz="4" w:space="0"/>
              <w:left w:val="single" w:color="auto" w:sz="4" w:space="0"/>
              <w:bottom w:val="single" w:color="auto" w:sz="4" w:space="0"/>
              <w:right w:val="single" w:color="auto" w:sz="4" w:space="0"/>
            </w:tcBorders>
            <w:tcW w:w="495" w:type="dxa"/>
            <w:vAlign w:val="center"/>
            <w:textDirection w:val="lrTb"/>
            <w:noWrap w:val="false"/>
          </w:tcPr>
          <w:p>
            <w:pPr>
              <w:pStyle w:val="930"/>
              <w:ind w:firstLine="0"/>
              <w:spacing w:after="0" w:line="276"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shd w:val="clear" w:color="auto" w:fill="d8d8d8"/>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pStyle w:val="930"/>
              <w:ind w:firstLine="0"/>
              <w:jc w:val="center"/>
              <w:spacing w:after="0" w:line="276" w:lineRule="auto"/>
              <w:rPr>
                <w:color w:val="000000" w:themeColor="text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指标</w:t>
            </w:r>
            <w:r/>
          </w:p>
        </w:tc>
        <w:tc>
          <w:tcPr>
            <w:shd w:val="clear" w:color="auto" w:fill="d8d8d8"/>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930"/>
              <w:ind w:left="0" w:firstLine="210"/>
              <w:jc w:val="both"/>
              <w:spacing w:after="0" w:line="276"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限制值</w:t>
            </w:r>
            <w:r/>
          </w:p>
        </w:tc>
        <w:tc>
          <w:tcPr>
            <w:shd w:val="clear" w:color="auto" w:fill="d8d8d8"/>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pStyle w:val="930"/>
              <w:ind w:firstLine="0"/>
              <w:jc w:val="center"/>
              <w:spacing w:after="0" w:line="276"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判定依据</w:t>
            </w:r>
            <w:r>
              <w:rPr>
                <w:rFonts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方法</w:t>
            </w:r>
            <w:r/>
          </w:p>
        </w:tc>
      </w:tr>
      <w:tr>
        <w:trPr/>
        <w:tc>
          <w:tcPr>
            <w:tcBorders>
              <w:top w:val="single" w:color="auto" w:sz="4" w:space="0"/>
              <w:left w:val="single" w:color="auto" w:sz="4" w:space="0"/>
              <w:bottom w:val="single" w:color="auto" w:sz="4" w:space="0"/>
              <w:right w:val="single" w:color="auto" w:sz="4" w:space="0"/>
            </w:tcBorders>
            <w:tcW w:w="495" w:type="dxa"/>
            <w:vAlign w:val="center"/>
            <w:textDirection w:val="lrTb"/>
            <w:noWrap w:val="false"/>
          </w:tcPr>
          <w:p>
            <w:pPr>
              <w:pStyle w:val="930"/>
              <w:ind w:firstLine="0"/>
              <w:spacing w:after="0" w:line="276" w:lineRule="auto"/>
              <w:rPr>
                <w:rFonts w:ascii="宋体" w:hAnsi="宋体" w:cs="宋体"/>
                <w:color w:val="000000" w:themeColor="text1"/>
                <w:sz w:val="18"/>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固定端口以太网交换机能效比值（TEER）</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≥300</w:t>
            </w:r>
            <w:r/>
          </w:p>
        </w:tc>
        <w:tc>
          <w:tcPr>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检测方法依据附录E中要求</w:t>
            </w:r>
            <w:r/>
          </w:p>
        </w:tc>
      </w:tr>
      <w:tr>
        <w:trPr/>
        <w:tc>
          <w:tcPr>
            <w:tcBorders>
              <w:top w:val="single" w:color="auto" w:sz="4" w:space="0"/>
              <w:left w:val="single" w:color="auto" w:sz="4" w:space="0"/>
              <w:bottom w:val="single" w:color="auto" w:sz="4" w:space="0"/>
              <w:right w:val="single" w:color="auto" w:sz="4" w:space="0"/>
            </w:tcBorders>
            <w:tcW w:w="495" w:type="dxa"/>
            <w:vAlign w:val="center"/>
            <w:vMerge w:val="restart"/>
            <w:textDirection w:val="lrTb"/>
            <w:noWrap w:val="false"/>
          </w:tcPr>
          <w:p>
            <w:pPr>
              <w:pStyle w:val="930"/>
              <w:ind w:firstLine="0"/>
              <w:spacing w:after="0" w:line="276" w:lineRule="auto"/>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950" w:type="dxa"/>
            <w:vAlign w:val="center"/>
            <w:vMerge w:val="restart"/>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单路电源输出效率</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20%负载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≥88%</w:t>
            </w:r>
            <w:r/>
          </w:p>
        </w:tc>
        <w:tc>
          <w:tcPr>
            <w:tcBorders>
              <w:top w:val="single" w:color="auto" w:sz="4" w:space="0"/>
              <w:left w:val="single" w:color="auto" w:sz="4" w:space="0"/>
              <w:bottom w:val="single" w:color="auto" w:sz="4" w:space="0"/>
              <w:right w:val="single" w:color="auto" w:sz="4" w:space="0"/>
            </w:tcBorders>
            <w:tcW w:w="3014" w:type="dxa"/>
            <w:vAlign w:val="center"/>
            <w:vMerge w:val="restart"/>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检测方法依据HJ 2507附录B要求</w:t>
            </w:r>
            <w:r/>
          </w:p>
        </w:tc>
      </w:tr>
      <w:tr>
        <w:trPr>
          <w:trHeight w:val="544"/>
        </w:trPr>
        <w:tc>
          <w:tcPr>
            <w:tcBorders>
              <w:top w:val="single" w:color="auto" w:sz="4" w:space="0"/>
              <w:left w:val="single" w:color="auto" w:sz="4" w:space="0"/>
              <w:bottom w:val="single" w:color="auto" w:sz="4" w:space="0"/>
              <w:right w:val="single" w:color="auto" w:sz="4" w:space="0"/>
            </w:tcBorders>
            <w:tcW w:w="495" w:type="dxa"/>
            <w:vAlign w:val="center"/>
            <w:vMerge w:val="continue"/>
            <w:textDirection w:val="lrTb"/>
            <w:noWrap w:val="false"/>
          </w:tcPr>
          <w:p>
            <w:pPr>
              <w:jc w:val="left"/>
              <w:spacing w:after="0"/>
              <w:rPr>
                <w:rFonts w:ascii="宋体" w:hAnsi="宋体" w:cs="宋体"/>
                <w:color w:val="000000" w:themeColor="text1"/>
                <w:sz w:val="18"/>
                <w:highlight w:val="none"/>
                <w14:textFill>
                  <w14:solidFill>
                    <w14:schemeClr w14:val="tx1"/>
                  </w14:solidFill>
                </w14:textFill>
              </w:rPr>
            </w:pPr>
            <w:r>
              <w:rPr>
                <w:rFonts w:ascii="宋体" w:hAnsi="宋体" w:cs="宋体"/>
                <w:color w:val="000000" w:themeColor="text1"/>
                <w:sz w:val="1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0"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50%负载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≥92%</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vMerge w:val="continue"/>
            <w:textDirection w:val="lrTb"/>
            <w:noWrap w:val="false"/>
          </w:tcPr>
          <w:p>
            <w:pPr>
              <w:jc w:val="left"/>
              <w:spacing w:after="0"/>
              <w:rPr>
                <w:rFonts w:ascii="宋体" w:hAnsi="宋体" w:cs="宋体"/>
                <w:color w:val="000000" w:themeColor="text1"/>
                <w:sz w:val="18"/>
                <w:highlight w:val="none"/>
                <w14:textFill>
                  <w14:solidFill>
                    <w14:schemeClr w14:val="tx1"/>
                  </w14:solidFill>
                </w14:textFill>
              </w:rPr>
            </w:pPr>
            <w:r>
              <w:rPr>
                <w:rFonts w:ascii="宋体" w:hAnsi="宋体" w:cs="宋体"/>
                <w:color w:val="000000" w:themeColor="text1"/>
                <w:sz w:val="1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0"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100%负载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≥88%</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textDirection w:val="lrTb"/>
            <w:noWrap w:val="false"/>
          </w:tcPr>
          <w:p>
            <w:pPr>
              <w:pStyle w:val="930"/>
              <w:ind w:firstLine="0"/>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单路电源最低功率因数(50%负载下的)     </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≥0.90</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vMerge w:val="restart"/>
            <w:textDirection w:val="lrTb"/>
            <w:noWrap w:val="false"/>
          </w:tcPr>
          <w:p>
            <w:pPr>
              <w:pStyle w:val="930"/>
              <w:ind w:firstLine="0"/>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950" w:type="dxa"/>
            <w:vAlign w:val="center"/>
            <w:vMerge w:val="restart"/>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多路电源输出效率</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20%负载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≥85%</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vMerge w:val="continue"/>
            <w:textDirection w:val="lrTb"/>
            <w:noWrap w:val="false"/>
          </w:tcPr>
          <w:p>
            <w:pPr>
              <w:jc w:val="left"/>
              <w:spacing w:after="0"/>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0"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50%负载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≥89%</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vMerge w:val="continue"/>
            <w:textDirection w:val="lrTb"/>
            <w:noWrap w:val="false"/>
          </w:tcPr>
          <w:p>
            <w:pPr>
              <w:jc w:val="left"/>
              <w:spacing w:after="0"/>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0"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100%负载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≥85%</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textDirection w:val="lrTb"/>
            <w:noWrap w:val="false"/>
          </w:tcPr>
          <w:p>
            <w:pPr>
              <w:pStyle w:val="930"/>
              <w:ind w:firstLine="0"/>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5</w:t>
            </w:r>
            <w:r/>
          </w:p>
        </w:tc>
        <w:tc>
          <w:tcPr>
            <w:gridSpan w:val="2"/>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多路电源最低功率因数(50%负载下的)</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≥0.90</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vMerge w:val="restart"/>
            <w:textDirection w:val="lrTb"/>
            <w:noWrap w:val="false"/>
          </w:tcPr>
          <w:p>
            <w:pPr>
              <w:pStyle w:val="930"/>
              <w:ind w:firstLine="0"/>
              <w:spacing w:after="0" w:line="276"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950" w:type="dxa"/>
            <w:vAlign w:val="center"/>
            <w:vMerge w:val="restart"/>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噪声发射</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有人值守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≤7.6 Bels</w:t>
            </w:r>
            <w:r/>
          </w:p>
        </w:tc>
        <w:tc>
          <w:tcPr>
            <w:tcBorders>
              <w:top w:val="single" w:color="auto" w:sz="4" w:space="0"/>
              <w:left w:val="single" w:color="auto" w:sz="4" w:space="0"/>
              <w:bottom w:val="single" w:color="auto" w:sz="4" w:space="0"/>
              <w:right w:val="single" w:color="auto" w:sz="4" w:space="0"/>
            </w:tcBorders>
            <w:tcW w:w="3014" w:type="dxa"/>
            <w:vAlign w:val="center"/>
            <w:vMerge w:val="restart"/>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检测方法依据YD/T 1816要求</w:t>
            </w:r>
            <w:r/>
          </w:p>
        </w:tc>
      </w:tr>
      <w:tr>
        <w:trPr/>
        <w:tc>
          <w:tcPr>
            <w:tcBorders>
              <w:top w:val="single" w:color="auto" w:sz="4" w:space="0"/>
              <w:left w:val="single" w:color="auto" w:sz="4" w:space="0"/>
              <w:bottom w:val="single" w:color="auto" w:sz="4" w:space="0"/>
              <w:right w:val="single" w:color="auto" w:sz="4" w:space="0"/>
            </w:tcBorders>
            <w:tcW w:w="495" w:type="dxa"/>
            <w:vAlign w:val="center"/>
            <w:vMerge w:val="continue"/>
            <w:textDirection w:val="lrTb"/>
            <w:noWrap w:val="false"/>
          </w:tcPr>
          <w:p>
            <w:pPr>
              <w:jc w:val="left"/>
              <w:spacing w:after="0"/>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0" w:type="dxa"/>
            <w:vAlign w:val="center"/>
            <w:vMerge w:val="continue"/>
            <w:textDirection w:val="lrTb"/>
            <w:noWrap w:val="false"/>
          </w:tcPr>
          <w:p>
            <w:pPr>
              <w:jc w:val="left"/>
              <w:spacing w:after="0"/>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无人值守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≤8.1 Bels</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jc w:val="left"/>
              <w:spacing w:after="0"/>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bl>
    <w:p>
      <w:pPr>
        <w:pStyle w:val="934"/>
        <w:ind w:firstLine="420"/>
        <w:rPr>
          <w:rFonts w:asciiTheme="minorEastAsia" w:hAnsiTheme="minorEastAsia"/>
          <w:i/>
          <w:iCs/>
          <w:highlight w:val="none"/>
          <w:u w:val="single"/>
        </w:rPr>
      </w:pPr>
      <w:r>
        <w:rPr>
          <w:rFonts w:hint="eastAsia" w:asciiTheme="minorEastAsia" w:hAnsiTheme="minorEastAsia"/>
          <w:i/>
          <w:iCs/>
          <w:highlight w:val="none"/>
          <w:u w:val="single"/>
        </w:rPr>
        <w:t xml:space="preserve">合规性验证方式：查验数据中心提供的第三方检测报告或第三方认证证书。</w:t>
      </w:r>
      <w:r/>
    </w:p>
    <w:p>
      <w:pPr>
        <w:ind w:firstLine="482"/>
        <w:jc w:val="left"/>
        <w:spacing w:line="520" w:lineRule="exact"/>
        <w:rPr>
          <w:rFonts w:ascii="宋体" w:hAnsi="宋体" w:cs="宋体"/>
          <w:b/>
          <w:bCs/>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、系统总体要求</w:t>
      </w:r>
      <w:r/>
    </w:p>
    <w:p>
      <w:pPr>
        <w:ind w:firstLine="420"/>
        <w:jc w:val="left"/>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1、要求平台内录像存储容量不少于30天，图片存储不少于1年。要求全部高清摄像机按1080P每秒不低于25帧动态码流存储；后端云存储设备采用N+1备份。任意一台或者多台服务器发生故障，整个系统正常运转，且录像不丢失。任意两台存储设备出现故障，不影响视频流的正常存储，系统能正常运转；中标人的前端设备、管理软件须满足国家GB/T28181-2011、GB 35114标准（A级以上）标准。系统平台与仪征市公安局实战应用平台对接的方式采用GB/T28181-2011规定的标准。</w:t>
      </w:r>
      <w:r/>
    </w:p>
    <w:p>
      <w:pPr>
        <w:ind w:firstLine="420"/>
        <w:jc w:val="left"/>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2、除本项目</w:t>
      </w:r>
      <w:r>
        <w:rPr>
          <w:rFonts w:hint="eastAsia" w:asciiTheme="minorEastAsia" w:hAnsiTheme="minorEastAsia"/>
          <w:sz w:val="24"/>
          <w:highlight w:val="none"/>
          <w:lang w:val="zh-CN"/>
        </w:rPr>
        <w:t xml:space="preserve">的主要设备清单外，中标人</w:t>
      </w:r>
      <w:r>
        <w:rPr>
          <w:rFonts w:hint="eastAsia" w:asciiTheme="minorEastAsia" w:hAnsiTheme="minorEastAsia"/>
          <w:sz w:val="24"/>
          <w:highlight w:val="none"/>
        </w:rPr>
        <w:t xml:space="preserve">应</w:t>
      </w:r>
      <w:r>
        <w:rPr>
          <w:rFonts w:hint="eastAsia" w:asciiTheme="minorEastAsia" w:hAnsiTheme="minorEastAsia"/>
          <w:sz w:val="24"/>
          <w:highlight w:val="none"/>
          <w:lang w:val="zh-CN"/>
        </w:rPr>
        <w:t xml:space="preserve">根据实际情况对配套的杆件、防雷接地、机柜、网络等设备进行更换、维护和补充，确保使用过程中的安全可靠，中标人无论是自建、借用其它杆件，中标人应负安全责任，杆件均需要满足关于前端材料设备部分技术要求，</w:t>
      </w:r>
      <w:r>
        <w:rPr>
          <w:rFonts w:hint="eastAsia" w:asciiTheme="minorEastAsia" w:hAnsiTheme="minorEastAsia"/>
          <w:sz w:val="24"/>
          <w:highlight w:val="none"/>
        </w:rPr>
        <w:t xml:space="preserve">所有相机应根据场景配相应的电源、镜头、支架等配件</w:t>
      </w:r>
      <w:r>
        <w:rPr>
          <w:rFonts w:hint="eastAsia" w:asciiTheme="minorEastAsia" w:hAnsiTheme="minorEastAsia"/>
          <w:sz w:val="24"/>
          <w:highlight w:val="none"/>
          <w:lang w:val="zh-CN"/>
        </w:rPr>
        <w:t xml:space="preserve">，投标人报价时应考虑整个系统正常运行（包括后端接入、平台接入授权等硬件、软件、人工、运输）所产生的各种费用，本项目中交换机安装、调试也均由中标人负责，投标人需考虑其中所有费用，除中标价外，采购人不再另外支付其他费用。</w:t>
      </w:r>
      <w:r>
        <w:rPr>
          <w:rFonts w:hint="eastAsia" w:asciiTheme="minorEastAsia" w:hAnsiTheme="minorEastAsia"/>
          <w:sz w:val="24"/>
          <w:highlight w:val="none"/>
        </w:rPr>
        <w:t xml:space="preserve">本项目在交付使用前安全责任由中标人负责，施工过程中造成的人身伤害、财产伤害以及涉及相关法律责任均由中标人承担。</w:t>
      </w:r>
      <w:r>
        <w:rPr>
          <w:rFonts w:hint="eastAsia" w:asciiTheme="minorEastAsia" w:hAnsiTheme="minorEastAsia"/>
          <w:sz w:val="24"/>
          <w:highlight w:val="none"/>
          <w:lang w:val="zh-CN"/>
        </w:rPr>
        <w:t xml:space="preserve">投标人必须考虑</w:t>
      </w:r>
      <w:r>
        <w:rPr>
          <w:rFonts w:hint="eastAsia" w:asciiTheme="minorEastAsia" w:hAnsiTheme="minorEastAsia"/>
          <w:sz w:val="24"/>
          <w:highlight w:val="none"/>
        </w:rPr>
        <w:t xml:space="preserve">全部</w:t>
      </w:r>
      <w:r>
        <w:rPr>
          <w:rFonts w:hint="eastAsia" w:asciiTheme="minorEastAsia" w:hAnsiTheme="minorEastAsia"/>
          <w:sz w:val="24"/>
          <w:highlight w:val="none"/>
          <w:lang w:val="zh-CN"/>
        </w:rPr>
        <w:t xml:space="preserve">前端设备的取电及施工问题（含协调），采购人不另外提供任何费用。</w:t>
      </w:r>
      <w:r>
        <w:rPr>
          <w:rFonts w:hint="eastAsia" w:asciiTheme="minorEastAsia" w:hAnsiTheme="minorEastAsia"/>
          <w:sz w:val="24"/>
          <w:highlight w:val="none"/>
        </w:rPr>
        <w:t xml:space="preserve">在施工中若对道路、绿化、管网、光缆等公共设施破坏的，由中标人负责恢复。</w:t>
      </w:r>
      <w:r/>
    </w:p>
    <w:p>
      <w:pPr>
        <w:pStyle w:val="934"/>
        <w:ind w:firstLine="420"/>
        <w:jc w:val="left"/>
        <w:rPr>
          <w:rFonts w:asciiTheme="minorEastAsia" w:hAnsiTheme="minorEastAsia"/>
          <w:i/>
          <w:iCs/>
          <w:highlight w:val="none"/>
          <w:u w:val="single"/>
          <w:lang w:val="zh-CN"/>
        </w:rPr>
      </w:pPr>
      <w:r>
        <w:rPr>
          <w:rFonts w:hint="eastAsia" w:asciiTheme="minorEastAsia" w:hAnsiTheme="minorEastAsia"/>
          <w:i/>
          <w:iCs/>
          <w:highlight w:val="none"/>
          <w:u w:val="single"/>
          <w:lang w:val="zh-CN"/>
        </w:rPr>
        <w:t xml:space="preserve">3、</w:t>
      </w:r>
      <w:r>
        <w:rPr>
          <w:rFonts w:hint="eastAsia" w:asciiTheme="minorEastAsia" w:hAnsiTheme="minorEastAsia"/>
          <w:i/>
          <w:iCs/>
          <w:highlight w:val="none"/>
          <w:u w:val="single"/>
        </w:rPr>
        <w:t xml:space="preserve">中标人</w:t>
      </w:r>
      <w:r>
        <w:rPr>
          <w:rFonts w:hint="eastAsia" w:asciiTheme="minorEastAsia" w:hAnsiTheme="minorEastAsia"/>
          <w:i/>
          <w:iCs/>
          <w:highlight w:val="none"/>
          <w:u w:val="single"/>
          <w:lang w:val="zh-CN"/>
        </w:rPr>
        <w:t xml:space="preserve">所提供的前端相机、后端云存储系统扩容必须无缝接入现有的仪征市公安视频图像信息应用平台。接入平台后，任意7天内平台认定的超低质量图片比例不高于百分之五。</w:t>
      </w:r>
      <w:r>
        <w:rPr>
          <w:rFonts w:hint="eastAsia" w:ascii="宋体" w:hAnsi="宋体" w:cs="宋体"/>
          <w:b/>
          <w:i/>
          <w:iCs/>
          <w:highlight w:val="none"/>
          <w:u w:val="single"/>
        </w:rPr>
        <w:t xml:space="preserve">（提供承诺函，原件扫描上传，格式自拟）</w:t>
      </w:r>
      <w:r/>
    </w:p>
    <w:p>
      <w:pPr>
        <w:ind w:firstLine="420"/>
        <w:jc w:val="left"/>
        <w:spacing w:after="0" w:line="360" w:lineRule="auto"/>
        <w:rPr>
          <w:rFonts w:ascii="宋体" w:hAnsi="宋体"/>
          <w:b/>
          <w:i/>
          <w:color w:val="ff0000"/>
          <w:sz w:val="28"/>
          <w:szCs w:val="28"/>
          <w:highlight w:val="none"/>
          <w:u w:val="single"/>
        </w:rPr>
      </w:pPr>
      <w:r>
        <w:rPr>
          <w:rFonts w:hint="eastAsia" w:asciiTheme="minorEastAsia" w:hAnsiTheme="minorEastAsia"/>
          <w:i/>
          <w:iCs/>
          <w:sz w:val="24"/>
          <w:highlight w:val="none"/>
          <w:u w:val="single"/>
          <w:lang w:val="zh-CN"/>
        </w:rPr>
        <w:t xml:space="preserve">4、承诺所有后端设备使用的硬盘在本地有备份，有损坏时能在48小时内更换，并承诺所有硬件设备，不限于交换机、存储后端等设备在合同到期后，采购人有永久使用权。</w:t>
      </w:r>
      <w:r>
        <w:rPr>
          <w:rFonts w:hint="eastAsia" w:ascii="宋体" w:hAnsi="宋体" w:cs="宋体"/>
          <w:b/>
          <w:i/>
          <w:iCs/>
          <w:sz w:val="24"/>
          <w:highlight w:val="none"/>
          <w:u w:val="single"/>
        </w:rPr>
        <w:t xml:space="preserve">（提供承诺函，原件扫描上传，格式自拟）</w:t>
      </w:r>
      <w:r/>
    </w:p>
    <w:p>
      <w:pPr>
        <w:ind w:firstLine="420"/>
        <w:jc w:val="left"/>
        <w:spacing w:after="0" w:line="360" w:lineRule="auto"/>
        <w:rPr>
          <w:rFonts w:ascii="宋体" w:hAnsi="宋体"/>
          <w:b/>
          <w:i/>
          <w:color w:val="ff0000"/>
          <w:sz w:val="28"/>
          <w:szCs w:val="28"/>
          <w:highlight w:val="none"/>
          <w:u w:val="single"/>
        </w:rPr>
      </w:pPr>
      <w:r>
        <w:rPr>
          <w:rFonts w:hint="eastAsia" w:asciiTheme="minorEastAsia" w:hAnsiTheme="minorEastAsia"/>
          <w:i/>
          <w:iCs/>
          <w:sz w:val="24"/>
          <w:highlight w:val="none"/>
          <w:u w:val="single"/>
          <w:lang w:val="zh-CN"/>
        </w:rPr>
        <w:t xml:space="preserve">5、</w:t>
      </w:r>
      <w:r>
        <w:rPr>
          <w:rFonts w:hint="eastAsia" w:asciiTheme="minorEastAsia" w:hAnsiTheme="minorEastAsia"/>
          <w:i/>
          <w:iCs/>
          <w:sz w:val="24"/>
          <w:highlight w:val="none"/>
          <w:u w:val="single"/>
        </w:rPr>
        <w:t xml:space="preserve">中标人</w:t>
      </w:r>
      <w:r>
        <w:rPr>
          <w:rFonts w:hint="eastAsia" w:asciiTheme="minorEastAsia" w:hAnsiTheme="minorEastAsia"/>
          <w:i/>
          <w:iCs/>
          <w:sz w:val="24"/>
          <w:highlight w:val="none"/>
          <w:u w:val="single"/>
          <w:lang w:val="zh-CN"/>
        </w:rPr>
        <w:t xml:space="preserve">在安装新设备时，不得损坏原有相机及其配套的必备配件、辅材，保证在施工后相机在线，直至自然损坏。</w:t>
      </w:r>
      <w:r>
        <w:rPr>
          <w:rFonts w:hint="eastAsia" w:ascii="宋体" w:hAnsi="宋体" w:cs="宋体"/>
          <w:b/>
          <w:i/>
          <w:iCs/>
          <w:sz w:val="24"/>
          <w:highlight w:val="none"/>
          <w:u w:val="single"/>
        </w:rPr>
        <w:t xml:space="preserve">（提供承诺函，原件扫描上传，格式自拟）</w:t>
      </w:r>
      <w:r/>
    </w:p>
    <w:p>
      <w:pPr>
        <w:ind w:firstLine="420"/>
        <w:jc w:val="left"/>
        <w:spacing w:after="0" w:line="360" w:lineRule="auto"/>
        <w:rPr>
          <w:rFonts w:hint="eastAsia" w:ascii="宋体" w:hAnsi="宋体" w:cs="宋体"/>
          <w:b/>
          <w:i/>
          <w:iCs/>
          <w:sz w:val="24"/>
          <w:highlight w:val="none"/>
          <w:u w:val="single"/>
        </w:rPr>
      </w:pPr>
      <w:r>
        <w:rPr>
          <w:rFonts w:hint="eastAsia" w:asciiTheme="minorEastAsia" w:hAnsiTheme="minorEastAsia"/>
          <w:i/>
          <w:iCs/>
          <w:sz w:val="24"/>
          <w:highlight w:val="none"/>
          <w:u w:val="single"/>
        </w:rPr>
        <w:t xml:space="preserve">6、服务期间，中标人未经采购人同意，不得访问、获取、留存、使用、泄露或者向他人提供数据，不得对数据进行关联分析。所有数据归采购人。</w:t>
      </w:r>
      <w:r>
        <w:rPr>
          <w:rFonts w:hint="eastAsia" w:ascii="宋体" w:hAnsi="宋体" w:cs="宋体"/>
          <w:b/>
          <w:i/>
          <w:iCs/>
          <w:sz w:val="24"/>
          <w:highlight w:val="none"/>
          <w:u w:val="single"/>
        </w:rPr>
        <w:t xml:space="preserve">（提供承诺函，原件扫描上传，格式自拟）</w:t>
      </w:r>
      <w:r/>
    </w:p>
    <w:p>
      <w:pPr>
        <w:ind w:firstLine="420"/>
        <w:spacing w:after="0" w:line="360" w:lineRule="auto"/>
        <w:rPr>
          <w:rFonts w:hint="eastAsia" w:ascii="宋体" w:hAnsi="宋体" w:cs="宋体"/>
          <w:b/>
          <w:i/>
          <w:iCs/>
          <w:sz w:val="24"/>
          <w:highlight w:val="yellow"/>
          <w:u w:val="single"/>
        </w:rPr>
      </w:pPr>
      <w:r>
        <w:rPr>
          <w:rFonts w:hint="eastAsia" w:ascii="宋体" w:hAnsi="宋体" w:cs="宋体"/>
          <w:b/>
          <w:i/>
          <w:iCs/>
          <w:sz w:val="24"/>
          <w:highlight w:val="yellow"/>
          <w:u w:val="single"/>
        </w:rPr>
      </w:r>
      <w:r/>
    </w:p>
    <w:p>
      <w:pPr>
        <w:ind w:firstLine="482"/>
        <w:jc w:val="left"/>
        <w:spacing w:line="520" w:lineRule="exact"/>
        <w:rPr>
          <w:rFonts w:ascii="宋体" w:hAnsi="宋体" w:cs="宋体"/>
          <w:b/>
          <w:bCs/>
          <w:sz w:val="24"/>
        </w:rPr>
      </w:pPr>
      <w:r>
        <w:rPr>
          <w:rFonts w:hint="eastAsia" w:ascii="宋体" w:hAnsi="宋体" w:cs="宋体"/>
          <w:b/>
          <w:bCs/>
          <w:sz w:val="24"/>
          <w:lang w:val="en-US" w:eastAsia="zh-CN"/>
        </w:rPr>
        <w:t xml:space="preserve">4</w:t>
      </w:r>
      <w:r>
        <w:rPr>
          <w:rFonts w:hint="eastAsia" w:ascii="宋体" w:hAnsi="宋体" w:cs="宋体"/>
          <w:b/>
          <w:bCs/>
          <w:sz w:val="24"/>
        </w:rPr>
        <w:t xml:space="preserve">、设备采购清单与技术参数</w:t>
      </w:r>
      <w:r/>
    </w:p>
    <w:tbl>
      <w:tblPr>
        <w:tblStyle w:val="878"/>
        <w:tblW w:w="9315" w:type="dxa"/>
        <w:tblInd w:w="-236" w:type="dxa"/>
        <w:tblLayout w:type="fixed"/>
        <w:tblCellMar>
          <w:left w:w="108" w:type="dxa"/>
          <w:top w:w="0" w:type="dxa"/>
          <w:right w:w="108" w:type="dxa"/>
          <w:bottom w:w="0" w:type="dxa"/>
        </w:tblCellMar>
        <w:tblLook w:val="04A0" w:firstRow="1" w:lastRow="0" w:firstColumn="1" w:lastColumn="0" w:noHBand="0" w:noVBand="1"/>
      </w:tblPr>
      <w:tblGrid>
        <w:gridCol w:w="705"/>
        <w:gridCol w:w="1155"/>
        <w:gridCol w:w="5910"/>
        <w:gridCol w:w="675"/>
        <w:gridCol w:w="870"/>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after="0" w:line="240" w:lineRule="auto"/>
              <w:rPr>
                <w:rFonts w:ascii="宋体" w:hAnsi="宋体" w:cs="宋体"/>
                <w:b/>
                <w:bCs/>
                <w:color w:val="000000"/>
                <w:sz w:val="22"/>
                <w:szCs w:val="22"/>
              </w:rPr>
            </w:pPr>
            <w:r>
              <w:rPr>
                <w:rFonts w:hint="eastAsia" w:ascii="宋体" w:hAnsi="宋体" w:cs="宋体"/>
                <w:b/>
                <w:bCs/>
                <w:color w:val="000000"/>
                <w:sz w:val="22"/>
                <w:szCs w:val="22"/>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5910" w:type="dxa"/>
            <w:vAlign w:val="center"/>
            <w:textDirection w:val="lrTb"/>
            <w:noWrap w:val="false"/>
          </w:tcPr>
          <w:p>
            <w:pPr>
              <w:jc w:val="center"/>
              <w:spacing w:after="0" w:line="240" w:lineRule="auto"/>
              <w:rPr>
                <w:rFonts w:ascii="宋体" w:hAnsi="宋体" w:cs="宋体"/>
                <w:b/>
                <w:bCs/>
                <w:color w:val="000000"/>
                <w:sz w:val="22"/>
                <w:szCs w:val="22"/>
              </w:rPr>
            </w:pPr>
            <w:r>
              <w:rPr>
                <w:rFonts w:hint="eastAsia" w:ascii="宋体" w:hAnsi="宋体" w:cs="宋体"/>
                <w:b/>
                <w:bCs/>
                <w:color w:val="000000"/>
                <w:sz w:val="22"/>
                <w:szCs w:val="22"/>
              </w:rPr>
              <w:t xml:space="preserve">规格和型号</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jc w:val="center"/>
              <w:spacing w:after="0" w:line="240" w:lineRule="auto"/>
              <w:rPr>
                <w:rFonts w:ascii="宋体" w:hAnsi="宋体" w:cs="宋体"/>
                <w:b/>
                <w:bCs/>
                <w:color w:val="000000"/>
                <w:sz w:val="22"/>
                <w:szCs w:val="22"/>
              </w:rPr>
            </w:pPr>
            <w:r>
              <w:rPr>
                <w:rFonts w:hint="eastAsia" w:ascii="宋体" w:hAnsi="宋体" w:cs="宋体"/>
                <w:b/>
                <w:bCs/>
                <w:color w:val="000000"/>
                <w:sz w:val="22"/>
                <w:szCs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jc w:val="center"/>
              <w:spacing w:after="0" w:line="240" w:lineRule="auto"/>
              <w:rPr>
                <w:rFonts w:ascii="宋体" w:hAnsi="宋体" w:cs="宋体"/>
                <w:b/>
                <w:bCs/>
                <w:color w:val="000000"/>
                <w:sz w:val="22"/>
                <w:szCs w:val="22"/>
              </w:rPr>
            </w:pPr>
            <w:r>
              <w:rPr>
                <w:rFonts w:hint="eastAsia" w:ascii="宋体" w:hAnsi="宋体" w:cs="宋体"/>
                <w:b/>
                <w:bCs/>
                <w:color w:val="000000"/>
                <w:sz w:val="22"/>
                <w:szCs w:val="22"/>
              </w:rPr>
              <w:t xml:space="preserve">数量</w:t>
            </w:r>
            <w:r/>
          </w:p>
        </w:tc>
      </w:tr>
      <w:tr>
        <w:trPr>
          <w:trHeight w:val="1311"/>
        </w:trPr>
        <w:tc>
          <w:tcPr>
            <w:shd w:val="clear" w:color="auto" w:fill="auto"/>
            <w:tcBorders>
              <w:top w:val="none" w:color="000000" w:sz="4" w:space="0"/>
              <w:left w:val="single" w:color="auto" w:sz="4" w:space="0"/>
              <w:right w:val="single" w:color="auto" w:sz="4" w:space="0"/>
            </w:tcBorders>
            <w:tcW w:w="705" w:type="dxa"/>
            <w:vAlign w:val="center"/>
            <w:vMerge w:val="restart"/>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single" w:color="auto" w:sz="4" w:space="0"/>
              <w:right w:val="single" w:color="auto" w:sz="4" w:space="0"/>
            </w:tcBorders>
            <w:tcW w:w="1155" w:type="dxa"/>
            <w:vAlign w:val="center"/>
            <w:vMerge w:val="restart"/>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单车辆卡口</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单车辆卡口：包含摄像机、室外防护罩、电源适配器等组成；支持图像分辨率不低于4096×2336，像素≥900万</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支持采用先进的图像融合技术，夜间不得使用白光爆闪灯或外加频闪灯（正常环境光路口，电警可仅采用下挂灯）</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支持传感器：GS-CMOS，1.1英寸，视频分辨率不低于4096×2336，</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前排人脸检测功能：支持车辆前排人脸检测并识别主驾驶员的性别、是否戴眼镜结构化属性信息；支持在抓拍图上叠加主/副驾驶人脸小图和主/副驾驶员的结构化属性信息，结构化属性信息可通过OSD叠加到抓拍图中</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支持配合外接补光灯控制使用，支持闪光灯和频闪灯同步补光</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支持自动采集车道、车流量、平均速度、车辆类型、占有率、平均车头时距、平均排队长度、时间段等交通信息数据并进行统计，支持自动上传采集的交通信息数据，上传时间间隔可设置</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台</w:t>
            </w:r>
            <w:r/>
          </w:p>
        </w:tc>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val="false"/>
          </w:tcPr>
          <w:p>
            <w:pPr>
              <w:jc w:val="center"/>
              <w:spacing w:after="0" w:line="240" w:lineRule="auto"/>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24</w:t>
            </w:r>
            <w:r/>
          </w:p>
        </w:tc>
      </w:tr>
      <w:tr>
        <w:trPr>
          <w:trHeight w:val="841"/>
        </w:trPr>
        <w:tc>
          <w:tcPr>
            <w:tcBorders>
              <w:left w:val="single" w:color="auto" w:sz="4" w:space="0"/>
              <w:right w:val="single" w:color="auto" w:sz="4" w:space="0"/>
            </w:tcBorders>
            <w:tcW w:w="70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right w:val="single" w:color="auto" w:sz="4" w:space="0"/>
            </w:tcBorders>
            <w:tcW w:w="115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★支持行人流量检测和统计功能：支持行人流量检测和统计，可实时检测行人，并进行计数统计；行人流量检测和统计准确率≥99%</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支持车牌识别功能：白天识别准确率≥99%；晚上识别准确率≥99%；</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支持抓图特写区域范围设置功能：支持对抓图特写区域的范围进行设置</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支持车辆违章变道检测抓拍功能， 白天捕获率≥99%； 晚上捕获率≥99%；</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支持对超速(按所设超速阈值)行使的车辆进行检测抓拍功能，白天捕获率≥99%；晚上捕获率≥99%；支持普通卡口/人员卡口模式切换</w:t>
            </w:r>
            <w:r>
              <w:rPr>
                <w:rFonts w:hint="eastAsia" w:asciiTheme="minorEastAsia" w:hAnsiTheme="minorEastAsia" w:eastAsiaTheme="minorEastAsia" w:cstheme="minorEastAsia"/>
                <w:color w:val="000000"/>
                <w:sz w:val="21"/>
                <w:szCs w:val="21"/>
                <w:lang w:eastAsia="zh-CN"/>
              </w:rPr>
              <w:t xml:space="preserve">。</w:t>
            </w:r>
            <w:r/>
          </w:p>
        </w:tc>
        <w:tc>
          <w:tcPr>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right w:val="single" w:color="auto" w:sz="4" w:space="0"/>
            </w:tcBorders>
            <w:tcW w:w="870"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r>
      <w:tr>
        <w:trPr>
          <w:trHeight w:val="841"/>
        </w:trPr>
        <w:tc>
          <w:tcPr>
            <w:tcBorders>
              <w:left w:val="single" w:color="auto" w:sz="4" w:space="0"/>
              <w:bottom w:val="single" w:color="000000" w:sz="4" w:space="0"/>
              <w:right w:val="single" w:color="auto" w:sz="4" w:space="0"/>
            </w:tcBorders>
            <w:tcW w:w="70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bottom w:val="single" w:color="auto" w:sz="4" w:space="0"/>
              <w:right w:val="single" w:color="auto" w:sz="4" w:space="0"/>
            </w:tcBorders>
            <w:tcW w:w="115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支持透雾模式功能：支持透雾模式的开启和关闭，可分别设置早晨/傍晚/白天/夜晚等不同场景下的透雾模式状态</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支持车辆逆行检测抓拍功能，白天捕获率≥99%；晚上捕获率≥99%</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支持通过视频触发进行车辆抓拍，支持车牌识别、车身颜色识别、车型识别，通行车辆信息捕获和违章检测功能</w:t>
            </w:r>
            <w:r>
              <w:rPr>
                <w:rFonts w:hint="eastAsia" w:asciiTheme="minorEastAsia" w:hAnsiTheme="minorEastAsia" w:eastAsiaTheme="minorEastAsia" w:cstheme="minorEastAsia"/>
                <w:color w:val="000000"/>
                <w:sz w:val="21"/>
                <w:szCs w:val="21"/>
                <w:lang w:eastAsia="zh-CN"/>
              </w:rPr>
              <w:t xml:space="preserve">。</w:t>
            </w:r>
            <w:r/>
          </w:p>
          <w:p>
            <w:pPr>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支持设置卡口抓拍高速应用模式；支持对驾驶员行车时是否有打电话动作的检测</w:t>
            </w: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Cs w:val="21"/>
                <w:highlight w:val="none"/>
              </w:rPr>
              <w:t xml:space="preserve">白天识别准确率≥99%；晚上捕获</w:t>
            </w:r>
            <w:r>
              <w:rPr>
                <w:rFonts w:hint="eastAsia" w:asciiTheme="minorEastAsia" w:hAnsiTheme="minorEastAsia" w:eastAsiaTheme="minorEastAsia" w:cstheme="minorEastAsia"/>
                <w:color w:val="000000"/>
                <w:szCs w:val="21"/>
              </w:rPr>
              <w:t xml:space="preserve">率≥99%。</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★支持信号灯状态显示功能：支持在预览界面利用图标实时显示道路信号灯红绿状态</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支持检测并跟踪指定区域内不少于220个目标，目标包括机动车、非机动车以及行人等</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支持AC100–240V供电方式；支持不少于4路报警输出，2路报警输出，1路音频输入输出</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支持在温度不超过-40℃～+65℃的环境下正常工作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支持在湿度不超过10%～90%RH（无凝结）的环境下正常工作</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支持GB/35114A。</w:t>
            </w:r>
            <w:r/>
          </w:p>
        </w:tc>
        <w:tc>
          <w:tcPr>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r>
      <w:tr>
        <w:trPr>
          <w:trHeight w:val="4530"/>
        </w:trPr>
        <w:tc>
          <w:tcPr>
            <w:shd w:val="clear" w:color="auto" w:fill="auto"/>
            <w:tcBorders>
              <w:top w:val="none" w:color="000000" w:sz="4" w:space="0"/>
              <w:left w:val="single" w:color="auto" w:sz="4" w:space="0"/>
              <w:bottom w:val="single" w:color="000000" w:sz="4" w:space="0"/>
              <w:right w:val="single" w:color="auto" w:sz="4" w:space="0"/>
            </w:tcBorders>
            <w:tcW w:w="705" w:type="dxa"/>
            <w:vAlign w:val="center"/>
            <w:vMerge w:val="restart"/>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多合一爆闪补光灯</w:t>
            </w:r>
            <w:r/>
          </w:p>
        </w:tc>
        <w:tc>
          <w:tcPr>
            <w:shd w:val="clear" w:color="auto" w:fill="auto"/>
            <w:tcBorders>
              <w:top w:val="single" w:color="auto" w:sz="4" w:space="0"/>
              <w:left w:val="single" w:color="auto"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多合一爆闪补光灯：支持LED常亮、LED频闪、LED爆闪、白光气体爆闪以及红外气体爆闪五种补光方式，可通过远程控制切换</w:t>
            </w:r>
            <w:r>
              <w:rPr>
                <w:rFonts w:hint="eastAsia" w:ascii="宋体" w:hAnsi="宋体" w:cs="宋体"/>
                <w:color w:val="000000"/>
                <w:sz w:val="22"/>
                <w:szCs w:val="22"/>
                <w:lang w:eastAsia="zh-CN"/>
              </w:rPr>
              <w:t xml:space="preserve">。</w:t>
            </w:r>
            <w:r/>
          </w:p>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支持环境感光功能，感光0~15级可调；支持LED亮度等级0~99级可调</w:t>
            </w:r>
            <w:r>
              <w:rPr>
                <w:rFonts w:hint="eastAsia" w:ascii="宋体" w:hAnsi="宋体" w:cs="宋体"/>
                <w:color w:val="000000"/>
                <w:sz w:val="22"/>
                <w:szCs w:val="22"/>
                <w:lang w:eastAsia="zh-CN"/>
              </w:rPr>
              <w:t xml:space="preserve">。</w:t>
            </w:r>
            <w:r/>
          </w:p>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支持频闪方式或脉冲方式补光装置应能与交通技术监控设备同步</w:t>
            </w:r>
            <w:r>
              <w:rPr>
                <w:rFonts w:hint="eastAsia" w:ascii="宋体" w:hAnsi="宋体" w:cs="宋体"/>
                <w:color w:val="000000"/>
                <w:sz w:val="22"/>
                <w:szCs w:val="22"/>
                <w:lang w:eastAsia="zh-CN"/>
              </w:rPr>
              <w:t xml:space="preserve">。</w:t>
            </w:r>
            <w:r/>
          </w:p>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支持通过光敏进行红外和白光切换</w:t>
            </w:r>
            <w:r>
              <w:rPr>
                <w:rFonts w:hint="eastAsia" w:ascii="宋体" w:hAnsi="宋体" w:cs="宋体"/>
                <w:color w:val="000000"/>
                <w:sz w:val="22"/>
                <w:szCs w:val="22"/>
                <w:lang w:eastAsia="zh-CN"/>
              </w:rPr>
              <w:t xml:space="preserve">。</w:t>
            </w:r>
            <w:r/>
          </w:p>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支持通过RS485接口对补光灯亮度进行调节，可设置为1~255级</w:t>
            </w:r>
            <w:r>
              <w:rPr>
                <w:rFonts w:hint="eastAsia" w:ascii="宋体" w:hAnsi="宋体" w:cs="宋体"/>
                <w:color w:val="000000"/>
                <w:sz w:val="22"/>
                <w:szCs w:val="22"/>
                <w:lang w:eastAsia="zh-CN"/>
              </w:rPr>
              <w:t xml:space="preserve">。</w:t>
            </w:r>
            <w:r/>
          </w:p>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支持通过RS485进行远程升级</w:t>
            </w:r>
            <w:r>
              <w:rPr>
                <w:rFonts w:hint="eastAsia" w:ascii="宋体" w:hAnsi="宋体" w:cs="宋体"/>
                <w:color w:val="000000"/>
                <w:sz w:val="22"/>
                <w:szCs w:val="22"/>
                <w:lang w:eastAsia="zh-CN"/>
              </w:rPr>
              <w:t xml:space="preserve">。</w:t>
            </w:r>
            <w:r/>
          </w:p>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支持补光灯温度检测</w:t>
            </w:r>
            <w:r>
              <w:rPr>
                <w:rFonts w:hint="eastAsia" w:ascii="宋体" w:hAnsi="宋体" w:cs="宋体"/>
                <w:color w:val="000000"/>
                <w:sz w:val="22"/>
                <w:szCs w:val="22"/>
                <w:lang w:eastAsia="zh-CN"/>
              </w:rPr>
              <w:t xml:space="preserve">。</w:t>
            </w:r>
            <w:r/>
          </w:p>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支持软件版本升级</w:t>
            </w:r>
            <w:r>
              <w:rPr>
                <w:rFonts w:hint="eastAsia" w:ascii="宋体" w:hAnsi="宋体" w:cs="宋体"/>
                <w:color w:val="000000"/>
                <w:sz w:val="22"/>
                <w:szCs w:val="22"/>
                <w:lang w:eastAsia="zh-CN"/>
              </w:rPr>
              <w:t xml:space="preserve">。</w:t>
            </w:r>
            <w:r/>
          </w:p>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支持串口通信功能，可通过串口调试终端实现亮度调节、感光阈值调节、误触发保护等级设置，并可查看气体放电闪光次数、工作温度、气体放电闪光持续时间</w:t>
            </w:r>
            <w:r>
              <w:rPr>
                <w:rFonts w:hint="eastAsia" w:ascii="宋体" w:hAnsi="宋体" w:cs="宋体"/>
                <w:color w:val="000000"/>
                <w:sz w:val="22"/>
                <w:szCs w:val="22"/>
                <w:lang w:eastAsia="zh-CN"/>
              </w:rPr>
              <w:t xml:space="preserve">。</w:t>
            </w:r>
            <w:r/>
          </w:p>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支持具有1路RS485接口，1路爆闪输入接口，1路频闪输入接口，1路白光气体爆闪与红外气体爆闪光源切换接口</w:t>
            </w:r>
            <w:r>
              <w:rPr>
                <w:rFonts w:hint="eastAsia" w:ascii="宋体" w:hAnsi="宋体" w:cs="宋体"/>
                <w:color w:val="000000"/>
                <w:sz w:val="22"/>
                <w:szCs w:val="22"/>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val="false"/>
          </w:tcPr>
          <w:p>
            <w:pPr>
              <w:jc w:val="center"/>
              <w:spacing w:after="0" w:line="240" w:lineRule="auto"/>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28</w:t>
            </w:r>
            <w:r/>
          </w:p>
        </w:tc>
      </w:tr>
      <w:tr>
        <w:trPr>
          <w:trHeight w:val="2568"/>
        </w:trPr>
        <w:tc>
          <w:tcPr>
            <w:tcBorders>
              <w:top w:val="none" w:color="000000" w:sz="4" w:space="0"/>
              <w:left w:val="single" w:color="auto" w:sz="4" w:space="0"/>
              <w:bottom w:val="single" w:color="000000" w:sz="4" w:space="0"/>
              <w:right w:val="single" w:color="auto" w:sz="4" w:space="0"/>
            </w:tcBorders>
            <w:tcW w:w="70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000000" w:sz="4" w:space="0"/>
              <w:right w:val="single" w:color="auto" w:sz="4" w:space="0"/>
            </w:tcBorders>
            <w:tcW w:w="115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支持外壳防护等级：IP67</w:t>
            </w:r>
            <w:r>
              <w:rPr>
                <w:rFonts w:hint="eastAsia" w:ascii="宋体" w:hAnsi="宋体" w:cs="宋体"/>
                <w:color w:val="000000"/>
                <w:sz w:val="22"/>
                <w:szCs w:val="22"/>
                <w:lang w:eastAsia="zh-CN"/>
              </w:rPr>
              <w:t xml:space="preserve">。</w:t>
            </w:r>
            <w:r/>
          </w:p>
          <w:p>
            <w:pPr>
              <w:jc w:val="left"/>
              <w:spacing w:after="0" w:line="240"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支持具备符合GB/T 37958-2019《视频监控系统主动照明部件光辐射安全要求》的检测报告，LED频闪模式不超过0类危险，气体脉冲模式不超过3类危险，气体脉冲红外模式不超过3类危险</w:t>
            </w:r>
            <w:r>
              <w:rPr>
                <w:rFonts w:hint="eastAsia" w:ascii="宋体" w:hAnsi="宋体" w:cs="宋体"/>
                <w:color w:val="000000"/>
                <w:sz w:val="22"/>
                <w:szCs w:val="22"/>
                <w:lang w:eastAsia="zh-CN"/>
              </w:rPr>
              <w:t xml:space="preserve">。</w:t>
            </w:r>
            <w:r/>
          </w:p>
          <w:p>
            <w:pPr>
              <w:jc w:val="left"/>
              <w:spacing w:after="0" w:line="240" w:lineRule="auto"/>
              <w:rPr>
                <w:rFonts w:ascii="宋体" w:hAnsi="宋体" w:cs="宋体"/>
                <w:color w:val="000000"/>
                <w:sz w:val="22"/>
                <w:szCs w:val="22"/>
              </w:rPr>
            </w:pPr>
            <w:r>
              <w:rPr>
                <w:rFonts w:hint="eastAsia" w:ascii="宋体" w:hAnsi="宋体" w:cs="宋体"/>
                <w:color w:val="000000"/>
                <w:sz w:val="22"/>
                <w:szCs w:val="22"/>
              </w:rPr>
              <w:t xml:space="preserve">支持具备符合GA/T1202-2022《交通技术监控成像补光装置通用技术条件》的检测报告（LED光源1级频闪，气体放电光源1级脉冲和红外光源）。</w:t>
            </w:r>
            <w:r/>
          </w:p>
        </w:tc>
        <w:tc>
          <w:tcPr>
            <w:tcBorders>
              <w:top w:val="single" w:color="auto"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000000" w:sz="4" w:space="0"/>
              <w:right w:val="single" w:color="auto" w:sz="4" w:space="0"/>
            </w:tcBorders>
            <w:tcW w:w="870"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r>
      <w:tr>
        <w:trPr>
          <w:trHeight w:val="153"/>
        </w:trPr>
        <w:tc>
          <w:tcPr>
            <w:shd w:val="clear" w:color="auto" w:fill="auto"/>
            <w:tcBorders>
              <w:top w:val="none" w:color="000000" w:sz="4" w:space="0"/>
              <w:left w:val="single" w:color="auto" w:sz="4" w:space="0"/>
              <w:right w:val="single" w:color="auto" w:sz="4" w:space="0"/>
            </w:tcBorders>
            <w:tcW w:w="70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p>
        </w:tc>
        <w:tc>
          <w:tcPr>
            <w:shd w:val="clear" w:color="auto" w:fill="auto"/>
            <w:tcBorders>
              <w:top w:val="none" w:color="000000" w:sz="4" w:space="0"/>
              <w:left w:val="none" w:color="000000" w:sz="4" w:space="0"/>
              <w:right w:val="single" w:color="auto" w:sz="4" w:space="0"/>
            </w:tcBorders>
            <w:tcW w:w="115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电警卡口抓拍单元 </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电警卡口抓拍单元：900w像素环保型人脸卡口</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内置不小于1英寸高帧率彩色全局曝光CMOS高清智能摄像机，最大分辨率可达4096×2160</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设备组成：由摄像机、高清镜头、室外防护罩、风扇、补光灯、电源适配器、安装万向节组成，采用AC220V供电</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视频分辨率设置：支持视频分辨率设置为：50fps：4096×2160、3840×2336、1920×1080、1600×1200、1280×720；25fps：4096×2160、3840×2336、1920×1080、1600×1200、1280×720</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highlight w:val="none"/>
              </w:rPr>
              <w:t xml:space="preserve">★图像传输延时：网络直连情况下，在只输出主码流、分辨率设置为1920×1080、帧率设置为25fps, 码率设置为1Mbps，网络协议为UDP、最短延时、智能分析关闭时，视频图像传输至客户端的延时时间小于等于70ms</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tc>
        <w:tc>
          <w:tcPr>
            <w:shd w:val="clear" w:color="auto" w:fill="auto"/>
            <w:tcBorders>
              <w:top w:val="none" w:color="000000" w:sz="4" w:space="0"/>
              <w:left w:val="none" w:color="000000"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none" w:color="000000" w:sz="4" w:space="0"/>
              <w:left w:val="none" w:color="000000" w:sz="4" w:space="0"/>
              <w:right w:val="single" w:color="auto" w:sz="4" w:space="0"/>
            </w:tcBorders>
            <w:tcW w:w="87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54</w:t>
            </w:r>
            <w:r/>
          </w:p>
        </w:tc>
      </w:tr>
      <w:tr>
        <w:trPr>
          <w:trHeight w:val="699"/>
        </w:trPr>
        <w:tc>
          <w:tcPr>
            <w:shd w:val="clear" w:color="auto" w:fill="auto"/>
            <w:tcBorders>
              <w:left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感兴趣区域设置功能：支持37块感兴趣区域（ROI）增强编码设置功能，ROI区域压缩比在0~100范围内可设置</w:t>
            </w:r>
            <w:r>
              <w:rPr>
                <w:rFonts w:hint="eastAsia" w:asciiTheme="minorEastAsia" w:hAnsiTheme="minorEastAsia" w:eastAsiaTheme="minorEastAsia" w:cstheme="minorEastAsia"/>
                <w:color w:val="000000"/>
                <w:sz w:val="21"/>
                <w:szCs w:val="21"/>
                <w:highlight w:val="none"/>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车身颜色识别功能 ：支持识别不少于 39 种车身颜色，包括白、黑、红、黄、灰、蓝、绿、粉、紫、暗紫、棕、栗色、银灰、暗灰、白烟、深橙、浅玫瑰、番茄红、橄榄、金、暗橄榄、黄绿、绿黄、森林绿、海洋绿、深天蓝、青、深蓝、深红、深绿、深黄、深粉、深紫、深棕、深青、橙、深金、粉红、其他</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支持识别车身副颜色。</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车牌识别功能：支持对25×10像素～1100×3000像素的机动车车牌进行抓拍并识别号码</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 </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支持抓拍并识别垂直倾斜角度≤45°、水平倾斜角度≤35°、俯仰角度≤40°的机动车车牌号码。 </w:t>
            </w:r>
            <w:r/>
          </w:p>
        </w:tc>
        <w:tc>
          <w:tcPr>
            <w:shd w:val="clear" w:color="auto" w:fill="auto"/>
            <w:tcBorders>
              <w:left w:val="non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99"/>
        </w:trPr>
        <w:tc>
          <w:tcPr>
            <w:shd w:val="clear" w:color="auto" w:fill="auto"/>
            <w:tcBorders>
              <w:left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★目标跟踪功能：支持检测并跟踪指定区域内不少于245个目标，目标包括机动车、非机动车以及行人。</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车辆子品牌识别功能：支持车辆子品牌识别，对车头图片进行分析抓拍，可分析输出OSD叠加7200种车辆子品牌并显示相应的年款，对车尾图片进行分析抓拍，可分析输出 OSD 叠加3900 种车辆子品牌并显示相应的年款</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信号灯状态检测功能：支持通过视频检测信号灯状态，支持接收信号机广播的信号灯状态，通过对比判断信号灯的整体运行状况，可在视频预览画面上叠加信号机异常的结果指标</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司乘人员抓拍性能：支持前排人脸检测，并识别主驾驶员的性别、是否戴眼镜结构化属性信息，可在抓拍图上叠加主/副驾驶人脸小图和主驾驶员的结构化属性信息；在天气晴朗无雾，车辆无遮挡，白天环境光照度不低于200lx，夜晚辅助光照度不高于30lx的情况下进行测试。</w:t>
            </w:r>
            <w:r/>
          </w:p>
        </w:tc>
        <w:tc>
          <w:tcPr>
            <w:shd w:val="clear" w:color="auto" w:fill="auto"/>
            <w:tcBorders>
              <w:left w:val="non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54"/>
        </w:trPr>
        <w:tc>
          <w:tcPr>
            <w:shd w:val="clear" w:color="auto" w:fill="auto"/>
            <w:tcBorders>
              <w:left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车辆前排人脸抓拍废片率≤1%</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前排人脸抓拍率≥99%。其中，车辆前排人脸抓拍废片率=抓拍图上叠加的小图为非人脸的车辆数/实际过车数；前排人脸抓拍率=抓拍人脸数/实际过车中前排人脸数。</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★无人驾驶车辆车牌识别功能：支持对无人驾驶的车辆进行车牌识别</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自动画线功能检测：支持自动画线功能，可自动识别并画出车道线和抓拍检测线</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支持辅助生成车道线和车道线类型，可人工确认并修改</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支持辅助生产电警场景配置线和信号灯检测框，可人工确认并修改，为保障设备数据展示便捷，设备应实现根据不少于 11 个结果选择进行数据，可自定义选择进行界面展示的数据，包括：设备编号、抓拍时间、事件类型、车道、车牌、车牌颜色、车速（km/h）、车身颜色、车辆类型、车辆品牌等</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用户及服务检测扫描功能：支持用户及服务检测扫描，包括：用户状态、配置安全、登陆认证，并可在视频画面上显示优化建议</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Borders>
              <w:left w:val="non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99"/>
        </w:trPr>
        <w:tc>
          <w:tcPr>
            <w:shd w:val="clear" w:color="auto" w:fill="auto"/>
            <w:tcBorders>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外接鱼眼相机联动功能：支持两台设备（一个卡口、一个电警）和外接鱼眼相机，实现车辆的管控取证和违章变道的取证（支持配合终端服务器输出卡口和电警的抓拍合成图，可配置输出合成鱼眼图）。</w:t>
            </w:r>
            <w:r/>
          </w:p>
        </w:tc>
        <w:tc>
          <w:tcPr>
            <w:shd w:val="clear" w:color="auto" w:fill="auto"/>
            <w:tcBorders>
              <w:left w:val="none" w:color="000000"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1215"/>
        </w:trPr>
        <w:tc>
          <w:tcPr>
            <w:shd w:val="clear" w:color="auto" w:fill="auto"/>
            <w:tcBorders>
              <w:top w:val="none" w:color="000000" w:sz="4" w:space="0"/>
              <w:left w:val="single" w:color="auto" w:sz="4" w:space="0"/>
              <w:right w:val="single" w:color="auto" w:sz="4" w:space="0"/>
            </w:tcBorders>
            <w:tcW w:w="705" w:type="dxa"/>
            <w:vAlign w:val="center"/>
            <w:vMerge w:val="restart"/>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none" w:color="000000" w:sz="4" w:space="0"/>
              <w:left w:val="single" w:color="auto" w:sz="4" w:space="0"/>
              <w:right w:val="single" w:color="auto" w:sz="4" w:space="0"/>
            </w:tcBorders>
            <w:tcW w:w="1155" w:type="dxa"/>
            <w:vAlign w:val="center"/>
            <w:vMerge w:val="restart"/>
            <w:textDirection w:val="lrTb"/>
            <w:noWrap w:val="false"/>
          </w:tcPr>
          <w:p>
            <w:pPr>
              <w:jc w:val="center"/>
              <w:spacing w:after="0" w:line="240" w:lineRule="auto"/>
              <w:rPr>
                <w:rFonts w:ascii="宋体" w:hAnsi="宋体" w:cs="宋体"/>
                <w:color w:val="000000"/>
                <w:sz w:val="21"/>
                <w:szCs w:val="21"/>
              </w:rPr>
            </w:pPr>
            <w:r>
              <w:rPr>
                <w:rFonts w:hint="eastAsia" w:ascii="宋体" w:hAnsi="宋体" w:cs="宋体"/>
                <w:color w:val="000000"/>
                <w:sz w:val="21"/>
                <w:szCs w:val="21"/>
              </w:rPr>
              <w:t xml:space="preserve">电警抓拍单元 </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电警抓拍单元：900w像素环保型电警</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内置不小于1英寸高帧率彩色全局曝光CMOS高清智能摄像机，最大分辨率可达4096×2160</w:t>
            </w:r>
            <w:r>
              <w:rPr>
                <w:rFonts w:hint="eastAsia" w:ascii="宋体" w:hAnsi="宋体" w:cs="宋体"/>
                <w:color w:val="000000"/>
                <w:sz w:val="21"/>
                <w:szCs w:val="21"/>
                <w:lang w:eastAsia="zh-CN"/>
              </w:rPr>
              <w:t xml:space="preserve">。</w:t>
            </w:r>
            <w:r/>
          </w:p>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设备组成：高清抓拍单元由摄像机、高清镜头、室外防护罩、风扇、补光灯、电源适配器、安装万向节等组成</w:t>
            </w:r>
            <w:r>
              <w:rPr>
                <w:rFonts w:hint="eastAsia" w:ascii="宋体" w:hAnsi="宋体" w:cs="宋体"/>
                <w:color w:val="000000"/>
                <w:sz w:val="21"/>
                <w:szCs w:val="21"/>
                <w:lang w:eastAsia="zh-CN"/>
              </w:rPr>
              <w:t xml:space="preserve">。</w:t>
            </w:r>
            <w:r/>
          </w:p>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视频分辨率设置：支持视频分辨率设置为：50fps：4096×2160、3840×2336、1920×1080、1600×1200、1280×720；25fps：4096×2160、3840×2336、1920×1080、1600×1200、1280×720</w:t>
            </w:r>
            <w:r>
              <w:rPr>
                <w:rFonts w:hint="eastAsia" w:ascii="宋体" w:hAnsi="宋体" w:cs="宋体"/>
                <w:color w:val="000000"/>
                <w:sz w:val="21"/>
                <w:szCs w:val="21"/>
                <w:lang w:eastAsia="zh-CN"/>
              </w:rPr>
              <w:t xml:space="preserve">。</w:t>
            </w:r>
            <w:r/>
          </w:p>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机动车违法检测抓拍功能：支持按车道和时间段配置机动车违法检测抓拍规则，包括压线、违法变道、不按导向行驶、占用非机动车道、倒车、闯红灯、不按规定车道行驶、占用公交车道、逆行、违反禁止左/右转、违法掉头、违反禁货车通行</w:t>
            </w:r>
            <w:r>
              <w:rPr>
                <w:rFonts w:hint="eastAsia" w:ascii="宋体" w:hAnsi="宋体" w:cs="宋体"/>
                <w:color w:val="000000"/>
                <w:sz w:val="21"/>
                <w:szCs w:val="21"/>
                <w:lang w:eastAsia="zh-CN"/>
              </w:rPr>
              <w:t xml:space="preserve">。</w:t>
            </w:r>
            <w:r/>
          </w:p>
        </w:tc>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ascii="宋体" w:hAnsi="宋体" w:cs="宋体"/>
                <w:color w:val="000000"/>
                <w:sz w:val="21"/>
                <w:szCs w:val="21"/>
              </w:rPr>
            </w:pPr>
            <w:r>
              <w:rPr>
                <w:rFonts w:hint="eastAsia" w:ascii="宋体" w:hAnsi="宋体" w:cs="宋体"/>
                <w:color w:val="000000"/>
                <w:sz w:val="21"/>
                <w:szCs w:val="21"/>
              </w:rPr>
              <w:t xml:space="preserve">台</w:t>
            </w:r>
            <w:r/>
          </w:p>
        </w:tc>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val="false"/>
          </w:tcPr>
          <w:p>
            <w:pPr>
              <w:jc w:val="center"/>
              <w:spacing w:after="0" w:line="240"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43</w:t>
            </w:r>
            <w:r/>
          </w:p>
        </w:tc>
      </w:tr>
      <w:tr>
        <w:trPr>
          <w:trHeight w:val="1095"/>
        </w:trPr>
        <w:tc>
          <w:tcPr>
            <w:tcBorders>
              <w:left w:val="single" w:color="auto" w:sz="4" w:space="0"/>
              <w:right w:val="single" w:color="auto" w:sz="4" w:space="0"/>
            </w:tcBorders>
            <w:tcW w:w="70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right w:val="single" w:color="auto" w:sz="4" w:space="0"/>
            </w:tcBorders>
            <w:tcW w:w="1155" w:type="dxa"/>
            <w:vAlign w:val="center"/>
            <w:vMerge w:val="continue"/>
            <w:textDirection w:val="lrTb"/>
            <w:noWrap w:val="false"/>
          </w:tcPr>
          <w:p>
            <w:pPr>
              <w:jc w:val="center"/>
              <w:spacing w:after="0" w:line="240" w:lineRule="auto"/>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闯红灯捕获率：在天气晴朗无雾，号牌无遮挡，无污损的条件进行测试，白天测试时的环境光照度不低于200lx，晚上测试时辅助照明光照度不高于30lx；白天闯红灯捕获率≥99%；晚上闯红灯捕获率≥99%</w:t>
            </w:r>
            <w:r>
              <w:rPr>
                <w:rFonts w:hint="eastAsia" w:ascii="宋体" w:hAnsi="宋体" w:cs="宋体"/>
                <w:color w:val="000000"/>
                <w:sz w:val="21"/>
                <w:szCs w:val="21"/>
                <w:lang w:eastAsia="zh-CN"/>
              </w:rPr>
              <w:t xml:space="preserve">。</w:t>
            </w:r>
            <w:r/>
          </w:p>
          <w:p>
            <w:pPr>
              <w:jc w:val="left"/>
              <w:spacing w:after="0" w:line="240" w:lineRule="auto"/>
              <w:rPr>
                <w:rFonts w:hint="eastAsia" w:ascii="宋体" w:hAnsi="宋体" w:cs="宋体"/>
                <w:color w:val="000000"/>
                <w:sz w:val="21"/>
                <w:szCs w:val="21"/>
              </w:rPr>
            </w:pPr>
            <w:r>
              <w:rPr>
                <w:rFonts w:hint="eastAsia" w:ascii="宋体" w:hAnsi="宋体" w:cs="宋体"/>
                <w:color w:val="000000"/>
                <w:sz w:val="21"/>
                <w:szCs w:val="21"/>
              </w:rPr>
              <w:t xml:space="preserve">★车身颜色识别功能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rPr>
                <w:rFonts w:hint="eastAsia" w:ascii="宋体" w:hAnsi="宋体" w:cs="宋体"/>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ascii="宋体" w:hAnsi="宋体" w:cs="宋体"/>
                <w:color w:val="000000"/>
                <w:sz w:val="21"/>
                <w:szCs w:val="21"/>
              </w:rPr>
            </w:pPr>
            <w:r>
              <w:rPr>
                <w:rFonts w:hint="eastAsia" w:ascii="宋体" w:hAnsi="宋体" w:cs="宋体"/>
                <w:color w:val="000000"/>
                <w:sz w:val="21"/>
                <w:szCs w:val="21"/>
              </w:rPr>
              <w:t xml:space="preserve">车牌识别功能 ：支持对25×10 像素～1100×3000 像素的机动车车牌进行抓拍并识别号码</w:t>
            </w:r>
            <w:r>
              <w:rPr>
                <w:rFonts w:hint="eastAsia" w:ascii="宋体" w:hAnsi="宋体" w:cs="宋体"/>
                <w:color w:val="000000"/>
                <w:sz w:val="21"/>
                <w:szCs w:val="21"/>
                <w:lang w:eastAsia="zh-CN"/>
              </w:rPr>
              <w:t xml:space="preserve">。</w:t>
            </w:r>
            <w:r/>
          </w:p>
        </w:tc>
        <w:tc>
          <w:tcPr>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ascii="宋体" w:hAnsi="宋体" w:cs="宋体"/>
                <w:color w:val="000000"/>
                <w:sz w:val="21"/>
                <w:szCs w:val="21"/>
              </w:rPr>
            </w:pPr>
            <w:r>
              <w:rPr>
                <w:rFonts w:ascii="宋体" w:hAnsi="宋体" w:cs="宋体"/>
                <w:color w:val="000000"/>
                <w:sz w:val="21"/>
                <w:szCs w:val="21"/>
              </w:rPr>
            </w:r>
            <w:r/>
          </w:p>
        </w:tc>
        <w:tc>
          <w:tcPr>
            <w:tcBorders>
              <w:left w:val="single" w:color="auto" w:sz="4" w:space="0"/>
              <w:right w:val="single" w:color="auto" w:sz="4" w:space="0"/>
            </w:tcBorders>
            <w:tcW w:w="870" w:type="dxa"/>
            <w:vAlign w:val="center"/>
            <w:vMerge w:val="continue"/>
            <w:textDirection w:val="lrTb"/>
            <w:noWrap w:val="false"/>
          </w:tcPr>
          <w:p>
            <w:pPr>
              <w:jc w:val="center"/>
              <w:spacing w:after="0" w:line="240" w:lineRule="auto"/>
              <w:rPr>
                <w:rFonts w:ascii="宋体" w:hAnsi="宋体" w:cs="宋体"/>
                <w:color w:val="000000"/>
                <w:sz w:val="21"/>
                <w:szCs w:val="21"/>
              </w:rPr>
            </w:pPr>
            <w:r>
              <w:rPr>
                <w:rFonts w:ascii="宋体" w:hAnsi="宋体" w:cs="宋体"/>
                <w:color w:val="000000"/>
                <w:sz w:val="21"/>
                <w:szCs w:val="21"/>
              </w:rPr>
            </w:r>
            <w:r/>
          </w:p>
        </w:tc>
      </w:tr>
      <w:tr>
        <w:trPr>
          <w:trHeight w:val="1095"/>
        </w:trPr>
        <w:tc>
          <w:tcPr>
            <w:tcBorders>
              <w:left w:val="single" w:color="auto" w:sz="4" w:space="0"/>
              <w:right w:val="single" w:color="auto" w:sz="4" w:space="0"/>
            </w:tcBorders>
            <w:tcW w:w="70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right w:val="single" w:color="auto" w:sz="4" w:space="0"/>
            </w:tcBorders>
            <w:tcW w:w="1155" w:type="dxa"/>
            <w:vAlign w:val="center"/>
            <w:vMerge w:val="continue"/>
            <w:textDirection w:val="lrTb"/>
            <w:noWrap w:val="false"/>
          </w:tcPr>
          <w:p>
            <w:pPr>
              <w:jc w:val="center"/>
              <w:spacing w:after="0" w:line="240" w:lineRule="auto"/>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支持抓拍并识别垂直倾斜角度≤45°、水平倾斜角度≤35°、俯仰角度≤40°的机动车车牌号码。</w:t>
            </w:r>
            <w:r/>
          </w:p>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 ★闯禁行功能：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rPr>
                <w:rFonts w:hint="eastAsia" w:ascii="宋体" w:hAnsi="宋体" w:cs="宋体"/>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车辆子品牌识别功能：支持车辆子品牌识别，对车头图片进行分析抓拍，可分析输出OSD叠加7200种车辆子品牌并显示相应的年款，对车尾图片进行分析抓拍，可分析输出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cs="宋体"/>
                <w:color w:val="000000"/>
                <w:sz w:val="21"/>
                <w:szCs w:val="21"/>
                <w:lang w:eastAsia="zh-CN"/>
              </w:rPr>
              <w:t xml:space="preserve">。</w:t>
            </w:r>
            <w:r/>
          </w:p>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信号灯状态检测功能：支持通过视频检测信号灯状态，支持接收信号机广播的信号灯状态，通过对比判断信号灯的整体运行状况，可在视频预览画面上叠加信号机异常的结果指标</w:t>
            </w:r>
            <w:r>
              <w:rPr>
                <w:rFonts w:hint="eastAsia" w:ascii="宋体" w:hAnsi="宋体" w:cs="宋体"/>
                <w:color w:val="000000"/>
                <w:sz w:val="21"/>
                <w:szCs w:val="21"/>
                <w:lang w:eastAsia="zh-CN"/>
              </w:rPr>
              <w:t xml:space="preserve">。</w:t>
            </w:r>
            <w:r/>
          </w:p>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支持逆行和变道违章触发抓拍，逆行识别类型包括:高速公路逆行、单行道逆向行驶</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变道违章检测类型包括:实线变道(含双黄线)、导流区变道、连续变道(&gt;3条车道)</w:t>
            </w:r>
            <w:r>
              <w:rPr>
                <w:rFonts w:hint="eastAsia" w:ascii="宋体" w:hAnsi="宋体" w:cs="宋体"/>
                <w:color w:val="000000"/>
                <w:sz w:val="21"/>
                <w:szCs w:val="21"/>
                <w:lang w:eastAsia="zh-CN"/>
              </w:rPr>
              <w:t xml:space="preserve">。</w:t>
            </w:r>
            <w:r/>
          </w:p>
        </w:tc>
        <w:tc>
          <w:tcPr>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ascii="宋体" w:hAnsi="宋体" w:cs="宋体"/>
                <w:color w:val="000000"/>
                <w:sz w:val="21"/>
                <w:szCs w:val="21"/>
              </w:rPr>
            </w:pPr>
            <w:r>
              <w:rPr>
                <w:rFonts w:ascii="宋体" w:hAnsi="宋体" w:cs="宋体"/>
                <w:color w:val="000000"/>
                <w:sz w:val="21"/>
                <w:szCs w:val="21"/>
              </w:rPr>
            </w:r>
            <w:r/>
          </w:p>
        </w:tc>
        <w:tc>
          <w:tcPr>
            <w:tcBorders>
              <w:left w:val="single" w:color="auto" w:sz="4" w:space="0"/>
              <w:right w:val="single" w:color="auto" w:sz="4" w:space="0"/>
            </w:tcBorders>
            <w:tcW w:w="870" w:type="dxa"/>
            <w:vAlign w:val="center"/>
            <w:vMerge w:val="continue"/>
            <w:textDirection w:val="lrTb"/>
            <w:noWrap w:val="false"/>
          </w:tcPr>
          <w:p>
            <w:pPr>
              <w:jc w:val="center"/>
              <w:spacing w:after="0" w:line="240" w:lineRule="auto"/>
              <w:rPr>
                <w:rFonts w:ascii="宋体" w:hAnsi="宋体" w:cs="宋体"/>
                <w:color w:val="000000"/>
                <w:sz w:val="21"/>
                <w:szCs w:val="21"/>
              </w:rPr>
            </w:pPr>
            <w:r>
              <w:rPr>
                <w:rFonts w:ascii="宋体" w:hAnsi="宋体" w:cs="宋体"/>
                <w:color w:val="000000"/>
                <w:sz w:val="21"/>
                <w:szCs w:val="21"/>
              </w:rPr>
            </w:r>
            <w:r/>
          </w:p>
        </w:tc>
      </w:tr>
      <w:tr>
        <w:trPr>
          <w:trHeight w:val="1095"/>
        </w:trPr>
        <w:tc>
          <w:tcPr>
            <w:tcBorders>
              <w:left w:val="single" w:color="auto" w:sz="4" w:space="0"/>
              <w:bottom w:val="single" w:color="000000" w:sz="4" w:space="0"/>
              <w:right w:val="single" w:color="auto" w:sz="4" w:space="0"/>
            </w:tcBorders>
            <w:tcW w:w="70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bottom w:val="single" w:color="000000" w:sz="4" w:space="0"/>
              <w:right w:val="single" w:color="auto" w:sz="4" w:space="0"/>
            </w:tcBorders>
            <w:tcW w:w="1155" w:type="dxa"/>
            <w:vAlign w:val="center"/>
            <w:vMerge w:val="continue"/>
            <w:textDirection w:val="lrTb"/>
            <w:noWrap w:val="false"/>
          </w:tcPr>
          <w:p>
            <w:pPr>
              <w:jc w:val="center"/>
              <w:spacing w:after="0" w:line="240" w:lineRule="auto"/>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支持图片编码质量配置，车牌小图的图片质量(大/中/小)可配</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支持车牌遮挡检查功能，在检测到车牌被遮挡的情况下可给出提示</w:t>
            </w:r>
            <w:r>
              <w:rPr>
                <w:rFonts w:hint="eastAsia" w:ascii="宋体" w:hAnsi="宋体" w:cs="宋体"/>
                <w:color w:val="000000"/>
                <w:sz w:val="21"/>
                <w:szCs w:val="21"/>
                <w:lang w:eastAsia="zh-CN"/>
              </w:rPr>
              <w:t xml:space="preserve">。</w:t>
            </w:r>
            <w:r/>
          </w:p>
          <w:p>
            <w:pPr>
              <w:jc w:val="left"/>
              <w:spacing w:after="0" w:line="240" w:lineRule="auto"/>
              <w:rPr>
                <w:rFonts w:hint="eastAsia" w:ascii="宋体" w:hAnsi="宋体" w:cs="宋体"/>
                <w:color w:val="000000"/>
                <w:sz w:val="21"/>
                <w:szCs w:val="21"/>
                <w:lang w:eastAsia="zh-CN"/>
              </w:rPr>
            </w:pPr>
            <w:r>
              <w:rPr>
                <w:rFonts w:hint="eastAsia" w:ascii="宋体" w:hAnsi="宋体" w:cs="宋体"/>
                <w:color w:val="000000"/>
                <w:sz w:val="21"/>
                <w:szCs w:val="21"/>
              </w:rPr>
              <w:t xml:space="preserve">支持对两轮/三轮车分类识别</w:t>
            </w:r>
            <w:r>
              <w:rPr>
                <w:rFonts w:hint="eastAsia" w:ascii="宋体" w:hAnsi="宋体" w:cs="宋体"/>
                <w:color w:val="000000"/>
                <w:sz w:val="21"/>
                <w:szCs w:val="21"/>
                <w:lang w:eastAsia="zh-CN"/>
              </w:rPr>
              <w:t xml:space="preserve">。</w:t>
            </w:r>
            <w:r/>
          </w:p>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可识别外卖箱(外卖品牌)的标识</w:t>
            </w:r>
            <w:r>
              <w:rPr>
                <w:rFonts w:hint="eastAsia" w:ascii="宋体" w:hAnsi="宋体" w:cs="宋体"/>
                <w:color w:val="000000"/>
                <w:sz w:val="21"/>
                <w:szCs w:val="21"/>
                <w:lang w:eastAsia="zh-CN"/>
              </w:rPr>
              <w:t xml:space="preserve">。</w:t>
            </w:r>
            <w:r/>
          </w:p>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闯红灯违章支持叠加红灯已亮时间，可按照抓拍索引配置叠加红灯已亮时间</w:t>
            </w:r>
            <w:r>
              <w:rPr>
                <w:rFonts w:hint="eastAsia" w:ascii="宋体" w:hAnsi="宋体" w:cs="宋体"/>
                <w:color w:val="000000"/>
                <w:sz w:val="21"/>
                <w:szCs w:val="21"/>
                <w:lang w:eastAsia="zh-CN"/>
              </w:rPr>
              <w:t xml:space="preserve">。</w:t>
            </w:r>
            <w:r/>
          </w:p>
          <w:p>
            <w:pPr>
              <w:jc w:val="left"/>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支持渣土车/大货车喷涂车牌识别</w:t>
            </w:r>
            <w:r>
              <w:rPr>
                <w:rFonts w:hint="eastAsia" w:ascii="宋体" w:hAnsi="宋体" w:cs="宋体"/>
                <w:color w:val="000000"/>
                <w:sz w:val="21"/>
                <w:szCs w:val="21"/>
                <w:lang w:eastAsia="zh-CN"/>
              </w:rPr>
              <w:t xml:space="preserve">。</w:t>
            </w:r>
            <w:r/>
          </w:p>
          <w:p>
            <w:pPr>
              <w:jc w:val="left"/>
              <w:spacing w:after="0" w:line="240" w:lineRule="auto"/>
              <w:rPr>
                <w:rFonts w:ascii="宋体" w:hAnsi="宋体" w:cs="宋体"/>
                <w:color w:val="000000"/>
                <w:sz w:val="21"/>
                <w:szCs w:val="21"/>
              </w:rPr>
            </w:pPr>
            <w:r>
              <w:rPr>
                <w:rFonts w:hint="eastAsia" w:ascii="宋体" w:hAnsi="宋体" w:cs="宋体"/>
                <w:color w:val="000000"/>
                <w:sz w:val="21"/>
                <w:szCs w:val="21"/>
              </w:rPr>
              <w:t xml:space="preserve">支持同时输出不少于5路视频流，其中1路不低于16Mbps码率，1路不低于8Mbps码率。</w:t>
            </w:r>
            <w:r/>
          </w:p>
        </w:tc>
        <w:tc>
          <w:tcPr>
            <w:tcBorders>
              <w:left w:val="single" w:color="auto" w:sz="4" w:space="0"/>
              <w:bottom w:val="single" w:color="000000" w:sz="4" w:space="0"/>
              <w:right w:val="single" w:color="auto" w:sz="4" w:space="0"/>
            </w:tcBorders>
            <w:tcW w:w="675" w:type="dxa"/>
            <w:vAlign w:val="center"/>
            <w:vMerge w:val="continue"/>
            <w:textDirection w:val="lrTb"/>
            <w:noWrap w:val="false"/>
          </w:tcPr>
          <w:p>
            <w:pPr>
              <w:jc w:val="center"/>
              <w:spacing w:after="0" w:line="240" w:lineRule="auto"/>
              <w:rPr>
                <w:rFonts w:ascii="宋体" w:hAnsi="宋体" w:cs="宋体"/>
                <w:color w:val="000000"/>
                <w:sz w:val="21"/>
                <w:szCs w:val="21"/>
              </w:rPr>
            </w:pPr>
            <w:r>
              <w:rPr>
                <w:rFonts w:ascii="宋体" w:hAnsi="宋体" w:cs="宋体"/>
                <w:color w:val="000000"/>
                <w:sz w:val="21"/>
                <w:szCs w:val="21"/>
              </w:rPr>
            </w:r>
            <w:r/>
          </w:p>
        </w:tc>
        <w:tc>
          <w:tcPr>
            <w:tcBorders>
              <w:left w:val="single" w:color="auto" w:sz="4" w:space="0"/>
              <w:bottom w:val="single" w:color="000000" w:sz="4" w:space="0"/>
              <w:right w:val="single" w:color="auto" w:sz="4" w:space="0"/>
            </w:tcBorders>
            <w:tcW w:w="870" w:type="dxa"/>
            <w:vAlign w:val="center"/>
            <w:vMerge w:val="continue"/>
            <w:textDirection w:val="lrTb"/>
            <w:noWrap w:val="false"/>
          </w:tcPr>
          <w:p>
            <w:pPr>
              <w:jc w:val="center"/>
              <w:spacing w:after="0" w:line="240" w:lineRule="auto"/>
              <w:rPr>
                <w:rFonts w:ascii="宋体" w:hAnsi="宋体" w:cs="宋体"/>
                <w:color w:val="000000"/>
                <w:sz w:val="21"/>
                <w:szCs w:val="21"/>
              </w:rPr>
            </w:pPr>
            <w:r>
              <w:rPr>
                <w:rFonts w:ascii="宋体" w:hAnsi="宋体" w:cs="宋体"/>
                <w:color w:val="000000"/>
                <w:sz w:val="21"/>
                <w:szCs w:val="21"/>
              </w:rPr>
            </w:r>
            <w:r/>
          </w:p>
        </w:tc>
      </w:tr>
      <w:tr>
        <w:trPr>
          <w:trHeight w:val="94"/>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spacing w:after="0" w:line="240" w:lineRule="auto"/>
              <w:rPr>
                <w:rFonts w:ascii="宋体" w:hAnsi="宋体" w:cs="宋体"/>
                <w:color w:val="000000"/>
                <w:sz w:val="21"/>
                <w:szCs w:val="21"/>
              </w:rPr>
            </w:pPr>
            <w:r>
              <w:rPr>
                <w:rFonts w:hint="eastAsia" w:ascii="宋体" w:hAnsi="宋体" w:cs="宋体"/>
                <w:color w:val="000000"/>
                <w:sz w:val="21"/>
                <w:szCs w:val="21"/>
              </w:rPr>
              <w:t xml:space="preserve">环保爆闪补光灯</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宋体" w:hAnsi="宋体" w:cs="宋体"/>
                <w:color w:val="000000"/>
                <w:sz w:val="21"/>
                <w:szCs w:val="21"/>
              </w:rPr>
            </w:pPr>
            <w:r>
              <w:rPr>
                <w:rFonts w:hint="eastAsia" w:ascii="宋体" w:hAnsi="宋体" w:cs="宋体"/>
                <w:color w:val="000000"/>
                <w:sz w:val="21"/>
                <w:szCs w:val="21"/>
              </w:rPr>
              <w:t xml:space="preserve">环保爆闪补光灯：多合一级补光灯；光源类型：LED灯珠、气体灯管；发光角度：LED：10°；气体灯：10°；色温：LED＜4000K，气体灯＜7000K；补光距离：16~25m；</w:t>
            </w:r>
            <w:r/>
          </w:p>
          <w:p>
            <w:pPr>
              <w:jc w:val="left"/>
              <w:spacing w:after="0" w:line="240" w:lineRule="auto"/>
              <w:rPr>
                <w:rFonts w:hint="eastAsia" w:ascii="宋体" w:hAnsi="宋体" w:cs="宋体"/>
                <w:color w:val="000000"/>
                <w:sz w:val="21"/>
                <w:szCs w:val="21"/>
              </w:rPr>
            </w:pPr>
            <w:r>
              <w:rPr>
                <w:rFonts w:hint="eastAsia" w:ascii="宋体" w:hAnsi="宋体" w:cs="宋体"/>
                <w:color w:val="000000"/>
                <w:sz w:val="21"/>
                <w:szCs w:val="21"/>
              </w:rPr>
              <w:t xml:space="preserve">光栅：内置LED光栅；覆盖范</w:t>
            </w:r>
            <w:r>
              <w:rPr>
                <w:rFonts w:hint="eastAsia" w:ascii="宋体" w:hAnsi="宋体" w:cs="宋体"/>
                <w:color w:val="000000"/>
                <w:sz w:val="21"/>
                <w:szCs w:val="21"/>
              </w:rPr>
              <w:t xml:space="preserve">围：单车道 ；电源：220V±20%；瞬时功率：1500W；回电时间：小于67ms；响应时间：LED≤20us，爆闪≤47us；触发方式：电平量，可配置开关量；LED触发频率：1Hz~250Hz；LED触发占空比：1%~39%，当占空比大于等于40%时进入自保护状态；爆闪时长：300us；气体闪光次数：＞2000万次（2S闪一次）； 尺寸：497×305×305mm；工作温度：-40℃～70℃； 工作湿度：湿度5%～95%@40℃，无凝结；重量：6.6Kg；防护等级：IP65；外壳材质：铝；线缆长度：6m；</w:t>
            </w:r>
            <w:r/>
          </w:p>
          <w:p>
            <w:pPr>
              <w:jc w:val="left"/>
              <w:spacing w:after="0" w:line="240" w:lineRule="auto"/>
              <w:rPr>
                <w:rFonts w:ascii="宋体" w:hAnsi="宋体" w:cs="宋体"/>
                <w:color w:val="000000"/>
                <w:sz w:val="21"/>
                <w:szCs w:val="21"/>
              </w:rPr>
            </w:pPr>
            <w:r>
              <w:rPr>
                <w:rFonts w:hint="eastAsia" w:ascii="宋体" w:hAnsi="宋体" w:cs="宋体"/>
                <w:color w:val="000000"/>
                <w:sz w:val="21"/>
                <w:szCs w:val="21"/>
              </w:rPr>
              <w:t xml:space="preserve">★符合GA/T 1202-2022《交通技术监控成像补光装置通用技术条件》。</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spacing w:after="0" w:line="240" w:lineRule="auto"/>
              <w:rPr>
                <w:rFonts w:ascii="宋体" w:hAnsi="宋体" w:cs="宋体"/>
                <w:color w:val="000000"/>
                <w:sz w:val="21"/>
                <w:szCs w:val="21"/>
              </w:rPr>
            </w:pPr>
            <w:r>
              <w:rPr>
                <w:rFonts w:hint="eastAsia" w:ascii="宋体" w:hAnsi="宋体" w:cs="宋体"/>
                <w:color w:val="000000"/>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spacing w:after="0" w:line="240"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95</w:t>
            </w:r>
            <w:r/>
          </w:p>
        </w:tc>
      </w:tr>
      <w:tr>
        <w:trPr>
          <w:trHeight w:val="94"/>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频闪补光灯</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频闪补光灯：光源类型：16颗原装大功率LED；发光角度10°；覆盖范围：单车道环境补光灯；最佳补光范围16米～25米；触发方式：4V~6V电平量触发（高电平有效）（可选配开关量触发）触发信号：频率15~250HZ，占空比1%~39%，响应时间小于20US；外壳材质金属铝；工作电压：AC220V；额定功率：35Wmax；防护等级：IP66。</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spacing w:after="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101</w:t>
            </w:r>
            <w:r/>
          </w:p>
        </w:tc>
      </w:tr>
      <w:tr>
        <w:trPr>
          <w:trHeight w:val="3385"/>
        </w:trPr>
        <w:tc>
          <w:tcPr>
            <w:shd w:val="clear" w:color="auto" w:fill="auto"/>
            <w:tcBorders>
              <w:top w:val="none" w:color="000000" w:sz="4" w:space="0"/>
              <w:left w:val="single" w:color="auto" w:sz="4" w:space="0"/>
              <w:right w:val="single" w:color="auto" w:sz="4" w:space="0"/>
            </w:tcBorders>
            <w:tcW w:w="705" w:type="dxa"/>
            <w:vAlign w:val="center"/>
            <w:vMerge w:val="restart"/>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7</w:t>
            </w:r>
            <w:r/>
          </w:p>
        </w:tc>
        <w:tc>
          <w:tcPr>
            <w:shd w:val="clear" w:color="auto" w:fill="auto"/>
            <w:tcBorders>
              <w:top w:val="none" w:color="000000" w:sz="4" w:space="0"/>
              <w:left w:val="single" w:color="auto" w:sz="4" w:space="0"/>
              <w:right w:val="single" w:color="auto" w:sz="4" w:space="0"/>
            </w:tcBorders>
            <w:tcW w:w="1155" w:type="dxa"/>
            <w:vAlign w:val="center"/>
            <w:vMerge w:val="restart"/>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智能前端存储设备</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智能前端存储设备：道路智能终端；</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具有18个10M/100M/1000M自适应RJ45接口，其中P1～P16与G1处于同一网段、G2处于另一网段；2个1000M SFP光端接口，分别与G1、G2处于同一网段；</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具有2个RS-232接口、2个RS-485接口、1个USB 3.0接口、2路报警输入接口、2路报警输出接口、1个音频输入接口、1个音频输出接口、4个SATA接口、4个状态指示灯、1个接地端子</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支持IP地址过滤、SSH开关自定义、视频水印等安全防护功能，具有ARP防攻击设置选项、具备强密码管理功能</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支持WEB回话Session ID、数据传输加密、固件完整性等安全检验</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ascii="宋体" w:hAnsi="宋体" w:cs="宋体"/>
                <w:color w:val="000000"/>
                <w:sz w:val="22"/>
                <w:szCs w:val="22"/>
              </w:rPr>
            </w:pPr>
            <w:r>
              <w:rPr>
                <w:rFonts w:hint="eastAsia" w:ascii="宋体" w:hAnsi="宋体" w:cs="宋体"/>
                <w:color w:val="000000"/>
                <w:sz w:val="22"/>
                <w:szCs w:val="22"/>
              </w:rPr>
              <w:t xml:space="preserve">台</w:t>
            </w:r>
            <w:r/>
          </w:p>
        </w:tc>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val="false"/>
          </w:tcPr>
          <w:p>
            <w:pPr>
              <w:jc w:val="center"/>
              <w:spacing w:after="0" w:line="240" w:lineRule="auto"/>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17</w:t>
            </w:r>
            <w:r/>
          </w:p>
        </w:tc>
      </w:tr>
      <w:tr>
        <w:trPr>
          <w:trHeight w:val="2925"/>
        </w:trPr>
        <w:tc>
          <w:tcPr>
            <w:tcBorders>
              <w:left w:val="single" w:color="auto" w:sz="4" w:space="0"/>
              <w:right w:val="single" w:color="auto" w:sz="4" w:space="0"/>
            </w:tcBorders>
            <w:tcW w:w="70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right w:val="single" w:color="auto" w:sz="4" w:space="0"/>
            </w:tcBorders>
            <w:tcW w:w="115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★设备均应具备权限管理、数据加密、运行日志功能</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设备应设置操作口令，宜有图像加密，放篡改、防非法复制等措施，以保证原始数据的完整性。重要的图像应加以保护，不被删除和覆盖。</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设备应有防偶发死机的措施（如硬件看门狗或软件、硬件看门狗或定时自动启动等），死机后的自动恢复时间应满足GB20815中的8.12的要求；摄像机与客户端分别连接样机的不同网段时，客户端可以通过端口映射，跨网段直接访问摄像机，对摄像机进行操作，包括进行参数配置、录像实时预览等</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支持将1张、2张、3张、4张、5张、6张图片合成，支持选择图片形状，修改顺序，支持原始图片去黑边</w:t>
            </w:r>
            <w:r>
              <w:rPr>
                <w:rFonts w:hint="eastAsia" w:asciiTheme="minorEastAsia" w:hAnsiTheme="minorEastAsia" w:eastAsiaTheme="minorEastAsia" w:cstheme="minorEastAsia"/>
                <w:color w:val="000000"/>
                <w:sz w:val="21"/>
                <w:szCs w:val="21"/>
                <w:lang w:eastAsia="zh-CN"/>
              </w:rPr>
              <w:t xml:space="preserve">。</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支持至少4块3.5或2.5英寸硬盘接入，每块盘位最大兼容12TB硬盘，支持硬盘自动切换，当一块硬盘损坏后，能自动切换至其它硬盘进行存储。</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支持配置路段名称、路段编号、路段距离，能够对驶入驶出该路段的车辆抓拍数据匹配并计算车辆的区间速度值</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支持设置过滤阈值，对异常测速结果进行过滤</w:t>
            </w:r>
            <w:r>
              <w:rPr>
                <w:rFonts w:hint="eastAsia" w:asciiTheme="minorEastAsia" w:hAnsiTheme="minorEastAsia" w:eastAsiaTheme="minorEastAsia" w:cstheme="minorEastAsia"/>
                <w:color w:val="auto"/>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支持超速检测和欠速检测，可分别设定高限速和低限速值</w:t>
            </w:r>
            <w:r>
              <w:rPr>
                <w:rFonts w:hint="eastAsia" w:asciiTheme="minorEastAsia" w:hAnsiTheme="minorEastAsia" w:eastAsiaTheme="minorEastAsia" w:cstheme="minorEastAsia"/>
                <w:color w:val="auto"/>
                <w:sz w:val="21"/>
                <w:szCs w:val="21"/>
                <w:lang w:eastAsia="zh-CN"/>
              </w:rPr>
              <w:t xml:space="preserve">。</w:t>
            </w:r>
            <w:r/>
          </w:p>
          <w:p>
            <w:pPr>
              <w:jc w:val="left"/>
              <w:spacing w:after="0" w:line="240" w:lineRule="auto"/>
              <w:rPr>
                <w:rFonts w:hint="eastAsia"/>
                <w:lang w:eastAsia="zh-CN"/>
              </w:rPr>
            </w:pPr>
            <w:r>
              <w:rPr>
                <w:rFonts w:hint="eastAsia" w:asciiTheme="minorEastAsia" w:hAnsiTheme="minorEastAsia" w:eastAsiaTheme="minorEastAsia" w:cstheme="minorEastAsia"/>
                <w:color w:val="auto"/>
                <w:sz w:val="21"/>
                <w:szCs w:val="21"/>
              </w:rPr>
              <w:t xml:space="preserve">支持相同车牌号去重功能，多相机抓拍同一车牌号仅上传一条该车牌条记录到平台；可对IP通道进行图像虚焦、亮度异常、图像偏色、雪花干扰、条纹干扰等类型视频质量进行诊断，可生成诊断信息并导出查看</w:t>
            </w:r>
            <w:r>
              <w:rPr>
                <w:rFonts w:hint="eastAsia" w:asciiTheme="minorEastAsia" w:hAnsiTheme="minorEastAsia" w:eastAsiaTheme="minorEastAsia" w:cstheme="minorEastAsia"/>
                <w:color w:val="auto"/>
                <w:sz w:val="21"/>
                <w:szCs w:val="21"/>
                <w:lang w:eastAsia="zh-CN"/>
              </w:rPr>
              <w:t xml:space="preserve">。</w:t>
            </w:r>
            <w:r/>
          </w:p>
        </w:tc>
        <w:tc>
          <w:tcPr>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right w:val="single" w:color="auto" w:sz="4" w:space="0"/>
            </w:tcBorders>
            <w:tcW w:w="870"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r>
      <w:tr>
        <w:trPr>
          <w:trHeight w:val="565"/>
        </w:trPr>
        <w:tc>
          <w:tcPr>
            <w:tcBorders>
              <w:left w:val="single" w:color="auto" w:sz="4" w:space="0"/>
              <w:bottom w:val="single" w:color="000000" w:sz="4" w:space="0"/>
              <w:right w:val="single" w:color="auto" w:sz="4" w:space="0"/>
            </w:tcBorders>
            <w:tcW w:w="70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bottom w:val="single" w:color="000000" w:sz="4" w:space="0"/>
              <w:right w:val="single" w:color="auto" w:sz="4" w:space="0"/>
            </w:tcBorders>
            <w:tcW w:w="115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Theme="minorEastAsia" w:hAnsiTheme="minorEastAsia" w:eastAsiaTheme="minorEastAsia" w:cstheme="minorEastAsia"/>
                <w:b/>
                <w:bCs/>
                <w:color w:val="auto"/>
                <w:sz w:val="21"/>
                <w:szCs w:val="21"/>
                <w:highlight w:val="none"/>
              </w:rPr>
              <w:t xml:space="preserve">（提供有资质的第三方检测机构出具的检测报告，原件扫描上传）</w:t>
            </w:r>
            <w:r/>
          </w:p>
        </w:tc>
        <w:tc>
          <w:tcPr>
            <w:tcBorders>
              <w:left w:val="single" w:color="auto" w:sz="4" w:space="0"/>
              <w:bottom w:val="single" w:color="000000" w:sz="4" w:space="0"/>
              <w:right w:val="single" w:color="auto" w:sz="4" w:space="0"/>
            </w:tcBorders>
            <w:tcW w:w="675"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c>
          <w:tcPr>
            <w:tcBorders>
              <w:left w:val="single" w:color="auto" w:sz="4" w:space="0"/>
              <w:bottom w:val="single" w:color="000000" w:sz="4" w:space="0"/>
              <w:right w:val="single" w:color="auto" w:sz="4" w:space="0"/>
            </w:tcBorders>
            <w:tcW w:w="870" w:type="dxa"/>
            <w:vAlign w:val="center"/>
            <w:vMerge w:val="continue"/>
            <w:textDirection w:val="lrTb"/>
            <w:noWrap w:val="false"/>
          </w:tcPr>
          <w:p>
            <w:pPr>
              <w:jc w:val="center"/>
              <w:spacing w:after="0" w:line="240" w:lineRule="auto"/>
              <w:rPr>
                <w:rFonts w:ascii="宋体" w:hAnsi="宋体" w:cs="宋体"/>
                <w:color w:val="000000"/>
                <w:sz w:val="22"/>
                <w:szCs w:val="22"/>
              </w:rPr>
            </w:pPr>
            <w:r>
              <w:rPr>
                <w:rFonts w:ascii="宋体" w:hAnsi="宋体" w:cs="宋体"/>
                <w:color w:val="000000"/>
                <w:sz w:val="22"/>
                <w:szCs w:val="22"/>
              </w:rPr>
            </w:r>
            <w:r/>
          </w:p>
        </w:tc>
      </w:tr>
      <w:tr>
        <w:trPr>
          <w:trHeight w:val="300"/>
        </w:trPr>
        <w:tc>
          <w:tcPr>
            <w:shd w:val="clear" w:color="auto" w:fill="auto"/>
            <w:tcBorders>
              <w:top w:val="none" w:color="000000" w:sz="4" w:space="0"/>
              <w:left w:val="single" w:color="auto" w:sz="4" w:space="0"/>
              <w:bottom w:val="single" w:color="000000" w:sz="4" w:space="0"/>
              <w:right w:val="single" w:color="auto" w:sz="4" w:space="0"/>
            </w:tcBorders>
            <w:tcW w:w="70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w:t>
            </w:r>
            <w:r/>
          </w:p>
        </w:tc>
        <w:tc>
          <w:tcPr>
            <w:shd w:val="clear" w:color="auto" w:fill="auto"/>
            <w:tcBorders>
              <w:top w:val="none" w:color="000000" w:sz="4" w:space="0"/>
              <w:left w:val="single" w:color="auto" w:sz="4" w:space="0"/>
              <w:bottom w:val="single" w:color="000000" w:sz="4" w:space="0"/>
              <w:right w:val="single" w:color="auto" w:sz="4" w:space="0"/>
            </w:tcBorders>
            <w:tcW w:w="115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高清球机</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高清球机：400万25倍智能球机；视频分辨率不低于2560×1440；摄像机内置GPU芯片，靶面尺寸不小于1/1.8英寸；最低照度：彩色≤0.0005lx，黑白≤0.0001lx；摄像机内置镜头，支持不小于25倍光学变倍，镜头最大焦距不小于147mm；</w:t>
            </w:r>
            <w:r/>
          </w:p>
          <w:p>
            <w:pPr>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设备支持水平旋转范围为0~360°连续旋转，垂直旋转范围为-20°~90°；支持300个预置位，可设置8条巡航路径。支持预置位视频冻结功能；设备具有 H.265、H.264、MJPEG设置选项；设备smart事件上报的抓图支持叠加规则区域和目标框：可配置报警抓图叠加目标信息及规则信息，支持开启及关闭。支持设置预览画面是否叠加显示规则区域框及告警提示信息；设备可对监视画面中不小于30个人脸进行检测、跟踪和抓拍；设备支持人脸图片比对功能。</w:t>
            </w:r>
            <w:r/>
          </w:p>
          <w:p>
            <w:pPr>
              <w:jc w:val="left"/>
              <w:spacing w:after="0"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Cs w:val="21"/>
              </w:rPr>
              <w:t xml:space="preserve">开启混合目标检测模式后，可同时对行人、非机动车、机动车进行检测、跟踪及抓拍，可支持人脸与人体、车牌与车辆的关联显示。</w:t>
            </w:r>
            <w:r/>
          </w:p>
        </w:tc>
        <w:tc>
          <w:tcPr>
            <w:shd w:val="clear" w:color="auto" w:fill="auto"/>
            <w:tcBorders>
              <w:top w:val="none" w:color="000000" w:sz="4" w:space="0"/>
              <w:left w:val="single" w:color="auto" w:sz="4" w:space="0"/>
              <w:bottom w:val="single" w:color="000000"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23</w:t>
            </w:r>
            <w:r/>
          </w:p>
        </w:tc>
      </w:tr>
      <w:tr>
        <w:trPr>
          <w:trHeight w:val="234"/>
        </w:trPr>
        <w:tc>
          <w:tcPr>
            <w:tcBorders>
              <w:top w:val="none" w:color="000000" w:sz="4" w:space="0"/>
              <w:left w:val="single" w:color="auto" w:sz="4" w:space="0"/>
              <w:bottom w:val="single" w:color="000000"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设备可从诊断信息中导出云台控制历史记录，包括：手动键控PTZ、3D定位、手动调用预置点、手动调用花扫、手动调用巡航。</w:t>
            </w:r>
            <w:r/>
          </w:p>
          <w:p>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★设备在近光灯、中光灯开启后，在变焦过程中红外光斑形状为矩形，长宽比为16:9；设备红外光利用率不小于80%，在IE浏览器下，可通过手机扫描预览界面上的二维码获取设备资料；</w:t>
            </w:r>
            <w:r>
              <w:rPr>
                <w:rFonts w:hint="eastAsia" w:asciiTheme="minorEastAsia" w:hAnsiTheme="minorEastAsia" w:eastAsiaTheme="minorEastAsia" w:cstheme="minorEastAsia"/>
                <w:b/>
                <w:bCs/>
                <w:color w:val="auto"/>
                <w:szCs w:val="21"/>
                <w:highlight w:val="none"/>
              </w:rPr>
              <w:t xml:space="preserve">（提供有资质的第三方检测机构出具的检测报告，原件扫描上传）</w:t>
            </w:r>
            <w:r/>
          </w:p>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设备具有 VR 全景图拼接功能，拼接图可选择柱状全景图和鱼眼全景图 2 种模式，生成的柱状全景图分辨率不低于8192X2446，鱼眼全景图分辨率不低于3458x3458；设备具有VR 展示功能，可在客户端软件展示生成的全景图和实时视频；全景图可与实时视频联动，可通过点击全景图，使实时视频画面转动至点击位置； </w:t>
            </w:r>
            <w:r/>
          </w:p>
          <w:p>
            <w:pPr>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设备可通过平台叠加智能属性显示 (人员属性、车辆属性、报警事件、设备属性等) 至全景图中，并可进行场景漫游、标记标绘、视频投影及视图联动。</w:t>
            </w:r>
            <w:r/>
          </w:p>
          <w:p>
            <w:pPr>
              <w:jc w:val="left"/>
              <w:spacing w:after="0"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Cs w:val="21"/>
              </w:rPr>
              <w:t xml:space="preserve">★设备具有AI-ISP图像质量提升功能，在低照度环境下，可自动调节预览场景视频画面中人脸、人体、车辆等目标及预览场景视频画面的区域曝光、亮度、色彩饱和度、对比度、锐度等。</w:t>
            </w:r>
            <w:r>
              <w:rPr>
                <w:rFonts w:hint="eastAsia" w:asciiTheme="minorEastAsia" w:hAnsiTheme="minorEastAsia" w:eastAsiaTheme="minorEastAsia" w:cstheme="minorEastAsia"/>
                <w:b/>
                <w:bCs/>
                <w:color w:val="auto"/>
                <w:szCs w:val="21"/>
              </w:rPr>
              <w:t xml:space="preserve">（提供有资质的第三方检测机构出具的检测报告，原件扫描上传）</w:t>
            </w:r>
            <w:r/>
          </w:p>
        </w:tc>
        <w:tc>
          <w:tcPr>
            <w:tcBorders>
              <w:top w:val="non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90"/>
        </w:trPr>
        <w:tc>
          <w:tcPr>
            <w:tcBorders>
              <w:top w:val="none" w:color="000000" w:sz="4" w:space="0"/>
              <w:left w:val="single" w:color="auto" w:sz="4" w:space="0"/>
              <w:bottom w:val="single" w:color="000000"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设备内置不少于8GB eMMC，内置大模型算法芯片，可调用大模型算法检测并分类识别目标（人员、机动车、动物）。</w:t>
            </w:r>
            <w:r/>
          </w:p>
          <w:p>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设备支持大模型Smart事件功能，可检测距离设备不少于100m处的人员，可检测距离设备不少于150m处的机动车；设备支持白光、红外灯，开启白光补光灯可识别不少于50m处的彩色人体轮廓，红外补光可识别距设备不少于250m处的人体轮廓；支持不低于7路报警输入、2路报警输出、1路音频输入、1路音频输出</w:t>
            </w:r>
            <w:r>
              <w:rPr>
                <w:rFonts w:hint="eastAsia" w:asciiTheme="minorEastAsia" w:hAnsiTheme="minorEastAsia" w:eastAsiaTheme="minorEastAsia" w:cstheme="minorEastAsia"/>
                <w:color w:val="auto"/>
                <w:szCs w:val="21"/>
                <w:highlight w:val="none"/>
                <w:lang w:eastAsia="zh-CN"/>
              </w:rPr>
              <w:t xml:space="preserve">。</w:t>
            </w:r>
            <w:r/>
          </w:p>
          <w:p>
            <w:pPr>
              <w:jc w:val="left"/>
              <w:spacing w:after="0"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Cs w:val="21"/>
                <w:highlight w:val="none"/>
              </w:rPr>
              <w:t xml:space="preserve">防护能力不低于IP67；支持在-40 °C~70 °C范围内正常工作；支持GB35114A级安全加密。</w:t>
            </w:r>
            <w:r/>
          </w:p>
        </w:tc>
        <w:tc>
          <w:tcPr>
            <w:tcBorders>
              <w:top w:val="non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457"/>
        </w:trPr>
        <w:tc>
          <w:tcPr>
            <w:shd w:val="clear" w:color="auto" w:fill="auto"/>
            <w:tcBorders>
              <w:top w:val="none" w:color="000000" w:sz="4" w:space="0"/>
              <w:left w:val="single" w:color="auto" w:sz="4" w:space="0"/>
              <w:right w:val="single" w:color="auto" w:sz="4" w:space="0"/>
            </w:tcBorders>
            <w:tcW w:w="70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w:t>
            </w:r>
            <w:r/>
          </w:p>
        </w:tc>
        <w:tc>
          <w:tcPr>
            <w:shd w:val="clear" w:color="auto" w:fill="auto"/>
            <w:tcBorders>
              <w:top w:val="none" w:color="000000" w:sz="4" w:space="0"/>
              <w:left w:val="none" w:color="000000" w:sz="4" w:space="0"/>
              <w:right w:val="single" w:color="auto" w:sz="4" w:space="0"/>
            </w:tcBorders>
            <w:tcW w:w="115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室外双摄特征抓拍</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室外双摄特征抓拍：通道一主码流分辨率不小于3840x2160，通道二主码流分辨率不小于2688x1520；设备细节通道具有靶面尺寸为 1/1.2英寸的图像传感器；最低照度彩色不大于0.0003 lx，黑白不大于0.0001 lx</w:t>
            </w:r>
            <w:r>
              <w:rPr>
                <w:rFonts w:hint="eastAsia" w:asciiTheme="minorEastAsia" w:hAnsiTheme="minorEastAsia" w:eastAsiaTheme="minorEastAsia" w:cstheme="minorEastAsia"/>
                <w:color w:val="auto"/>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设备采用基于transformer架构的大模型算法，内置算力不小于8TOPS，设备内置鳞镜式补光灯，灯珠朝向与设备照射方向不同，补光灯开启后正面不可见补光灯灯珠</w:t>
            </w:r>
            <w:r>
              <w:rPr>
                <w:rFonts w:hint="eastAsia" w:asciiTheme="minorEastAsia" w:hAnsiTheme="minorEastAsia" w:eastAsiaTheme="minorEastAsia" w:cstheme="minorEastAsia"/>
                <w:color w:val="auto"/>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★设备支持大模型结构化混行目标检测，支持混行目标（行人、人脸、车辆、非机动车）检测、抓拍及结构化属性分析。可关联显示人脸/人体图片和车牌/车辆图片，并将结果上传平台，上传延时不超过1S</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b/>
                <w:bCs/>
                <w:color w:val="auto"/>
                <w:sz w:val="21"/>
                <w:szCs w:val="21"/>
                <w:highlight w:val="none"/>
              </w:rPr>
              <w:t xml:space="preserve">（提供有资质的第三方检测机构出具的检测报告，原件扫描上传）</w:t>
            </w:r>
            <w:r/>
          </w:p>
        </w:tc>
        <w:tc>
          <w:tcPr>
            <w:shd w:val="clear" w:color="auto" w:fill="auto"/>
            <w:tcBorders>
              <w:top w:val="none" w:color="000000" w:sz="4" w:space="0"/>
              <w:left w:val="none" w:color="000000"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none" w:color="000000" w:sz="4" w:space="0"/>
              <w:left w:val="none" w:color="000000" w:sz="4" w:space="0"/>
              <w:right w:val="single" w:color="auto" w:sz="4" w:space="0"/>
            </w:tcBorders>
            <w:tcW w:w="87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46</w:t>
            </w:r>
            <w:r/>
          </w:p>
        </w:tc>
      </w:tr>
      <w:tr>
        <w:trPr>
          <w:trHeight w:val="1125"/>
        </w:trPr>
        <w:tc>
          <w:tcPr>
            <w:shd w:val="clear" w:color="auto" w:fill="auto"/>
            <w:tcBorders>
              <w:left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设备具备大模型分析夜视能力，在环境光照度不高于0.1lx，关闭补光灯情况下，可抓拍距离样机15m处人脸，可认清抓拍图片人脸的面部特征</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★设备支持大模型人脸成像增强功能，开启后可提升低照度、雨、雾等环境下的人脸抓拍图片成像效果，可对出现在监控场景内的两眼瞳距不小于20像素的人脸进行检测</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设备支持大模型人脸比对功能，可对监控画面中出现的人脸与设备人脸库中的人脸图片进行比对，比对准确率不低于99%，设备支持开启、关闭文搜功能，功能开启后，可上传目标场景图片及目标信息，目标信息包括出现的时间、目标类别、在视场中的位置</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设备外壳防护能力支持IP67</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Borders>
              <w:left w:val="non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1125"/>
        </w:trPr>
        <w:tc>
          <w:tcPr>
            <w:shd w:val="clear" w:color="auto" w:fill="auto"/>
            <w:tcBorders>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对镜头前盖玻璃加热，去除玻璃上的冰状和水状附着物；设备具有耀光抑制功能，耀光区域≤1%；内置不少于1个音频输入接口、1个音频输出接口、1个报警输入接口、1个报警输出接口；支持GB35114A级安全加密。</w:t>
            </w:r>
            <w:r/>
          </w:p>
        </w:tc>
        <w:tc>
          <w:tcPr>
            <w:shd w:val="clear" w:color="auto" w:fill="auto"/>
            <w:tcBorders>
              <w:left w:val="none" w:color="000000"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840"/>
        </w:trPr>
        <w:tc>
          <w:tcPr>
            <w:shd w:val="clear" w:color="auto" w:fill="auto"/>
            <w:tcBorders>
              <w:top w:val="none" w:color="000000" w:sz="4" w:space="0"/>
              <w:left w:val="single" w:color="auto" w:sz="4" w:space="0"/>
              <w:bottom w:val="single" w:color="000000" w:sz="4" w:space="0"/>
              <w:right w:val="single" w:color="auto" w:sz="4" w:space="0"/>
            </w:tcBorders>
            <w:tcW w:w="70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10</w:t>
            </w:r>
            <w:r/>
          </w:p>
        </w:tc>
        <w:tc>
          <w:tcPr>
            <w:shd w:val="clear" w:color="auto" w:fill="auto"/>
            <w:tcBorders>
              <w:top w:val="none" w:color="000000" w:sz="4" w:space="0"/>
              <w:left w:val="single" w:color="auto" w:sz="4" w:space="0"/>
              <w:bottom w:val="single" w:color="000000" w:sz="4" w:space="0"/>
              <w:right w:val="single" w:color="auto" w:sz="4" w:space="0"/>
            </w:tcBorders>
            <w:tcW w:w="115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人脸补光灯</w:t>
            </w:r>
            <w:r/>
          </w:p>
        </w:tc>
        <w:tc>
          <w:tcPr>
            <w:shd w:val="clear" w:color="auto" w:fill="auto"/>
            <w:tcBorders>
              <w:top w:val="single" w:color="auto"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人脸补光灯：LED智能补光灯 颗数：≥48颗原装进口大功率暖光色温LED 灯珠</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功 率：≤50W；角度：透镜采用磨砂镜面有效减少光污染及眩目问题；色温：2800K~5500K（暖光设计）；显色指数&gt;65Ra；供电电源：AC220V（176V～264V)；最佳照射距离：16米～28米</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                      </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开启方式：支持环境亮度检测，低照度下自动开启；工作环境温度：-40℃~+80℃</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状态检查：支持通过RS485远程显示补光灯的工作状态包括正常、开启、关闭、光敏阀值、亮度等级、温度、故障状态、实时功率</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光敏控制功能：支持通过RS485或RJ45接口远程调节光敏阈值，阈值500级可调。支持光敏阈值根据环境光照度自动适应调节。支持自适应亮灯，自适应熄灯</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Borders>
              <w:top w:val="none" w:color="000000" w:sz="4" w:space="0"/>
              <w:left w:val="single" w:color="auto" w:sz="4" w:space="0"/>
              <w:bottom w:val="single" w:color="000000"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val="false"/>
          </w:tcPr>
          <w:p>
            <w:pPr>
              <w:jc w:val="center"/>
              <w:spacing w:after="0" w:line="240" w:lineRule="auto"/>
              <w:rPr>
                <w:rFonts w:hint="default"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46</w:t>
            </w:r>
            <w:r/>
          </w:p>
        </w:tc>
      </w:tr>
      <w:tr>
        <w:trPr>
          <w:trHeight w:val="1320"/>
        </w:trPr>
        <w:tc>
          <w:tcPr>
            <w:tcBorders>
              <w:top w:val="none" w:color="000000" w:sz="4" w:space="0"/>
              <w:left w:val="single" w:color="auto" w:sz="4" w:space="0"/>
              <w:bottom w:val="single" w:color="000000"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 同步功能：支持补光灯与摄像机自适应同步</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★平台控制功能：支持通过智能设备箱管理平台远程控制补光装置的开启和关闭、亮度调节、光敏阀值调节，并可在线实时检测补光装置状态。</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tc>
        <w:tc>
          <w:tcPr>
            <w:tcBorders>
              <w:top w:val="non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1425"/>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定制支架</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直径76毫米壁厚3毫米镀锌钢管定制；长度0.6-2米，不具备安装0.6米以上长度的情况下在用高度0.8米的双层横臂；皆含全程安装轨道。含紧固螺栓，可采用主杆开孔攻丝采用螺栓固定，不得采用不锈钢喉箍捆绑固定。</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spacing w:after="0" w:line="240" w:lineRule="auto"/>
              <w:rPr>
                <w:rFonts w:hint="default"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48</w:t>
            </w:r>
            <w:r/>
          </w:p>
        </w:tc>
      </w:tr>
      <w:tr>
        <w:trPr>
          <w:trHeight w:val="53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115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网络工业交换机</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网络工业交换机： 支持交换容量不小于256Gbps，包转发率不小于60Mpps；支持不少于10个，10/100/1000Base-T电口、2个100/1000Base-X SFP光口；支持静态配置和动态学习MAC地址；支持MAC地址表少于8K；支持LLDP协议；支持静态链路聚合功能；支持STP、RSTP</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支持3拨码开关</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支持在APP、管理平台查看接入的交换机下终端设备(摄像机、球机、存储设备)型号,进行统一运维管理；支持通过APP、管理平台在系统异常时实时推送交换机告警信息并展示告警内容</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★支持在APP、管理平台中对接入的交换机、交换机下终端设备(摄像机、球机、存储设备)进行统一管理、监控、拓扑管理、告警等功能</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支持在温度不超过-40℃～+75℃的环境下正常工作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支持双电源</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支持导轨式安装方式</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支持IP40防护等级；支持IK06防护等级。</w:t>
            </w:r>
            <w:r/>
          </w:p>
        </w:tc>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val="false"/>
          </w:tcPr>
          <w:p>
            <w:pPr>
              <w:jc w:val="center"/>
              <w:spacing w:after="0" w:line="240" w:lineRule="auto"/>
              <w:rPr>
                <w:rFonts w:hint="default"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71</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p>
        </w:tc>
        <w:tc>
          <w:tcPr>
            <w:shd w:val="clear" w:color="auto" w:fill="auto"/>
            <w:tcBorders>
              <w:top w:val="single" w:color="auto" w:sz="4" w:space="0"/>
              <w:left w:val="single" w:color="auto"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提供1个电口和1个光口，前端发射机壁挂式，后端接收机SFP光模块，传输距离40km；电接口：RJ45口，支持IEEE80</w:t>
            </w:r>
            <w:r>
              <w:rPr>
                <w:rFonts w:hint="eastAsia" w:ascii="宋体" w:hAnsi="宋体" w:eastAsia="宋体" w:cs="宋体"/>
                <w:i w:val="0"/>
                <w:iCs w:val="0"/>
                <w:color w:val="000000"/>
                <w:sz w:val="21"/>
                <w:szCs w:val="21"/>
                <w:u w:val="none"/>
                <w:lang w:val="en-US" w:eastAsia="zh-CN" w:bidi="ar"/>
              </w:rPr>
              <w:t xml:space="preserve">2.3 10Base-T、IEEE802.3u 100Base-TX、IEEE802.3ab 1000Base-T标准，速率10M/100M/10000M自适应；光接口：支持IEEE802.3 100Base –FX、IEEE802.3 1000Base-X标准，支持SFP可插拔光模块，单模单纤，SC、LC可选，传输距离0～40km；结构：前端采用独立式结构，全金属外壳，自然散热，后端接收采用SFP光模块（LC口），可以插入市场主流交换机的SFP插槽内；供电：采用220V/110V交直流供电，含电源适配器。</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w:t>
            </w:r>
            <w:r/>
          </w:p>
        </w:tc>
      </w:tr>
      <w:tr>
        <w:trPr>
          <w:trHeight w:val="3749"/>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智能控制箱 </w:t>
            </w:r>
            <w:r/>
          </w:p>
        </w:tc>
        <w:tc>
          <w:tcPr>
            <w:shd w:val="clear" w:color="auto" w:fill="auto"/>
            <w:tcBorders>
              <w:top w:val="single" w:color="auto"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智能控制箱：主要包含空开、防雷、4个插座、2路220V输出端子、风扇、5路DC12V、4路DC36V；北斗定位；市电断电检测。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输网络断网检测；摄像机故障掉线检测；网络故障重启修复；补光灯状态检测（白天异常开启和晚上没正常打开）；远程定时控制供电（开、关、重启）；柜门防盗；电量检测；非法取电告警；温湿度检测；风扇温控；姿态检测、撞击告警、倾斜告警厚度1.5毫米钢板表面热镀锌、喷塑处理，高度610毫米、宽度400毫米、深度300毫米，内部机架式设计、底部按要求预留300平方厘米以上散热孔以及过滤网，顶部配置双套温度自控散热风扇；控制箱具备智能管理模块：1.北斗定位，2.市电断电检测，3.传输网络断网检测。</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主电源线</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主干电缆 RVV2*2.5mm2电缆</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w:t>
            </w:r>
            <w:r/>
          </w:p>
        </w:tc>
      </w:tr>
      <w:tr>
        <w:trPr>
          <w:trHeight w:val="183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UTP6超6类室外防水网线。绝缘材质：高密度聚乙烯，原材料进口环保料。绝缘外径：1.0±0.005 mm 护套材质：内护套：HDPE料外护套：PVC+PE 护套最小厚度：0.6mm。电气性能：符合YD/T 1019-2001标准规定。导体线径：纯无氧铜 0.57mm。使用寿命：非人为或地质灾害情况下，使用寿命不低于20年。</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设备电源线</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RVV2*1.5mm2无氧铜</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6000</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国标铠甲单模12芯</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6000</w:t>
            </w:r>
            <w:r/>
          </w:p>
        </w:tc>
      </w:tr>
      <w:tr>
        <w:trPr>
          <w:trHeight w:val="444"/>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光纤终端盒</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金属外壳、12芯SC口、配齐尾缆及法兰</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84</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前端汇聚工业交换机</w:t>
            </w:r>
            <w:r/>
          </w:p>
        </w:tc>
        <w:tc>
          <w:tcPr>
            <w:shd w:val="clear" w:color="auto" w:fill="auto"/>
            <w:tcBorders>
              <w:top w:val="single" w:color="auto" w:sz="4" w:space="0"/>
              <w:left w:val="single" w:color="auto"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前端汇聚工业交换机： PoE参数：支持IEEE802.3af国际标准，也可定制IEEE802.3at标准，单端口智能识别AT/AF供电，默认供电方式1/2+；3/6-转发模式：存储转发</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光口参数：SC/FC/LC/SFP接口可选，速率100/1000Mbps；电口参数：RJ45接口速率10/100/1000Mbps，背板带宽：千兆 1~5：12Gbps/千兆 6~10 :20Gbps；缓存：百兆1~8口:448K/千兆1~8口:1M/千兆9~10 口:2M</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包转发速率：千兆1~口:1.484Mbps@64Bytes</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val="false"/>
          </w:tcPr>
          <w:p>
            <w:pPr>
              <w:jc w:val="center"/>
              <w:spacing w:after="0" w:line="240" w:lineRule="auto"/>
              <w:rPr>
                <w:rFonts w:hint="default"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10</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缓存：百兆1~8口:448K/千兆1~8口:1M/千兆9~10 口:2M</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包转发速率：千兆1~4口:1.484Mbps@64Bytes，平均无故障时间(MTBF)：10万小时，网络协议和标准兼：IEEE802.3、IEEE802.3u、IEEE802.3af、IEEE802.3at</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电源支持：1.六位5.08mm工业接线端子；2.非PoE电源接入电压范围:12~48V,(建议客户24V1A)3.PoE设备电源接入口电压范围:DC48~57V(不同设备功率不同)4.电源接口:POW1(P+1/p-1) ， FALL告警输出 POW2(p+2/p-2)；尺寸规格：1~5口:长宽高119*85*34mm/重量:约450g，6~10口:长宽高143*101*44mm/重量:约640g</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ff0000"/>
                <w:sz w:val="21"/>
                <w:szCs w:val="21"/>
                <w:lang w:eastAsia="zh-CN"/>
              </w:rPr>
            </w:pPr>
            <w:r>
              <w:rPr>
                <w:rFonts w:hint="eastAsia" w:asciiTheme="minorEastAsia" w:hAnsiTheme="minorEastAsia" w:eastAsiaTheme="minorEastAsia" w:cstheme="minorEastAsia"/>
                <w:color w:val="000000"/>
                <w:sz w:val="21"/>
                <w:szCs w:val="21"/>
              </w:rPr>
              <w:t xml:space="preserve">环境规范：工作温度:-40~85°C</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储存温度：-50~100°C 相对湿度:5%~95%(无凝露)存放湿度：5%~95%,无冷凝 工作高度：海拔3000米(10.000ft)储存高度：海拔3000米(10.000ft)幅射：CE mark, commercial FCC Part 15 Class B</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VCCI Class B EN 55022(CISPR 22), Class B，安全：CE Mark, commercial CE/LVD EN60950</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落地箱</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600mm*600mm*1450mm壁厚1.5毫米镀锌钢板定制；顶部散热、防雨、恒温风扇，三层托板、三眼八位机架式防雷插座、防浪涌保护器、空开；砖砌基础高度0.8米，地面地下各一半；基础内外粉刷、箱体表面彩绘。</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w:t>
            </w:r>
            <w:r/>
          </w:p>
        </w:tc>
      </w:tr>
      <w:tr>
        <w:trPr>
          <w:trHeight w:val="387"/>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特征专用杆件</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主杆高度3.5米、壁厚3.6毫米、直径102毫米，含加高接口、2.5米处预留直径40毫米穿线孔以及悬箱固定螺栓；顶部四面法兰、面部识别相机专用横臂1组，表面热镀锌、喷塑处理；横臂长度低于0.8米长度的情况下，配另一层横臂专门安装补光灯。</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特征专用杆件基础</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M20国标钢筋*4根，高度0.65米；开挖0.6米*0.6米，深度0.8米，C30商用混凝土浇筑，包括垃圾清运。</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杆件</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主杆高度6.5米、壁厚6毫米、底部直径300毫米，顶部直径260毫米、2.5米处预留直径50毫米穿线孔以及悬箱固定螺栓；横臂长度6.5米，壁厚4毫米、根部直径240毫米、末梢直径120毫米、按要求预留6只20毫米*40毫米穿线孔以及全程安装轨道、100毫米*200毫米垂直法兰一个；杆件底盘厚度20毫米、直径500毫米，表面热镀锌、喷塑处理。</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杆件</w:t>
            </w:r>
            <w:r/>
          </w:p>
        </w:tc>
        <w:tc>
          <w:tcPr>
            <w:shd w:val="clear" w:color="auto" w:fill="auto"/>
            <w:tcBorders>
              <w:top w:val="single" w:color="auto" w:sz="4" w:space="0"/>
              <w:left w:val="single" w:color="auto"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主杆高度6.5米、壁厚6毫米、底部直径300毫米，顶部直径260毫米、2.5米处预留直径50毫米穿线孔以及悬箱固定螺栓；横臂长度9.5米，壁厚4毫米、根部直径240毫米、末梢直径120毫米、按要求预留8只20毫米*40毫米穿线孔以及全程安装轨道、100毫米*200毫米垂直法兰一个；杆件底盘厚度20毫米、直径500毫米，表面热镀锌、喷塑处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r>
      <w:tr>
        <w:trPr>
          <w:trHeight w:val="135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杆件</w:t>
            </w:r>
            <w:r/>
          </w:p>
        </w:tc>
        <w:tc>
          <w:tcPr>
            <w:shd w:val="clear" w:color="auto" w:fill="auto"/>
            <w:tcBorders>
              <w:top w:val="single" w:color="auto"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主杆高度6.5米、壁厚8毫米、底部直径330毫米，顶部直径280毫米、2.5米处预留直径50毫米穿线孔以及悬箱固定螺栓；横臂长度12米，壁厚6毫米、根部直径280毫米、末梢直径120毫米、按要求预留8只20毫米*40毫米穿线孔以及全程安装轨道、100毫米*200毫米垂直法兰一个；杆件底盘厚度20毫米、直径600毫米，表面热镀锌、喷塑处理。</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杆件</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主杆高度6.5米、壁厚10毫米、底部直径400毫米，顶部直径340毫米、2.5米处预留直径50毫米穿线孔以及悬箱固定螺栓；横臂长度18米，壁厚8毫米、根部直径320毫米、末梢直径110毫米、按要求预留10只20毫米*40毫米穿线孔以及全程轨道、100毫米*200毫米垂直法兰一个；杆件底盘厚度25毫米、直径800毫米，表面热镀锌、喷塑处理。</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r>
      <w:tr>
        <w:trPr>
          <w:trHeight w:val="1005"/>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M24国标钢筋*8根，高度1.4米；开挖1.1米*1.1,米，深度1.6米，C30商用混凝土浇筑，包括垃圾清运。</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M27国标钢筋*8根，高度1.5米；开挖1.2米*1.2,米，深度2米，C30商用混凝土浇筑，包括垃圾清运。</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w:t>
            </w:r>
            <w:r/>
          </w:p>
        </w:tc>
      </w:tr>
      <w:tr>
        <w:trPr>
          <w:trHeight w:val="69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M36国标钢筋*10根，高度1.8米；开挖1.2米*1.2,米，深度2.4米，C30商用混凝土浇筑，包括垃圾清运。</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弱电管道</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普通土地面开挖深度0.7米埋设PE50管道；若是道板铺装路面则需要按照原有式样恢复铺装。</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300</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弱电井</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砖砌500*500通信井；铸铁承重80吨井圈井盖。</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接地系统 </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直径16毫米铜棒、长度1.5米，从杆件基础底部打入地下、使用16平方毫米铜芯接地线引出连接箱体。</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84</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辅助材料</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接插件、标签牌、警示桩等。</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432"/>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万兆核心交换机</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配备2块S8700-4 双主控处理单元,2块24*10GE/GE+24*GE电业务端口，48端口10M/100M/1000M以太网电接口板(RJ45)*1；600W交流&amp;240V直流电源模块(66mm宽外壳,后前风道,电源面板侧出风)*2；48端口10M/100M/1000M以太网电接口板(RJ45)*1；1*48端口100M/1G/2.5G/10G以太网光接口板（SFP+） *1。</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936"/>
        </w:trPr>
        <w:tc>
          <w:tcPr>
            <w:shd w:val="clear" w:color="auto" w:fill="auto"/>
            <w:tcBorders>
              <w:top w:val="none" w:color="000000" w:sz="4" w:space="0"/>
              <w:left w:val="single" w:color="auto" w:sz="4" w:space="0"/>
              <w:bottom w:val="single" w:color="000000"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36</w:t>
            </w:r>
            <w:r/>
          </w:p>
        </w:tc>
        <w:tc>
          <w:tcPr>
            <w:shd w:val="clear" w:color="auto" w:fill="auto"/>
            <w:tcBorders>
              <w:top w:val="none" w:color="000000" w:sz="4" w:space="0"/>
              <w:left w:val="single" w:color="auto" w:sz="4" w:space="0"/>
              <w:bottom w:val="single" w:color="000000" w:sz="4" w:space="0"/>
              <w:right w:val="single" w:color="auto" w:sz="4" w:space="0"/>
            </w:tcBorders>
            <w:tcW w:w="115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Cs w:val="21"/>
              </w:rPr>
              <w:t xml:space="preserve">存算融合智能服务器</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最大支持管理1500路摄像机，支持对接入的摄像机进行智能分析，支持同时解析人体，人脸，机动车，非机动车</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支持GA/T1400协议、GA/WA3011协议；支持人脸、车辆等前端采集设备接入并上报人脸和结构化数据；人像/车辆图片接入、转发性能:512Mbps，人像/车辆小图+大图URL+结构化数据接入转发:508条/s</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块直存功能：前端设备和存储设备之间进行直接存储，且不生成文件（即不使用文件系统）双直存功能：支持前端设备同时与上下级域的存储设备进行直接存储，且不生成文件（即不使用文件系统）；支持云存储双直存</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支持10+1服务器备份,服务器宕机后，切换时间小于30秒。10台服务器和1台服务器，当主机中的一台宕机后，备机会补上</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地图功能，支持调用相关GIS地图引擎，点击按钮或者鼠标滚轮对地图进行放大或者缩小，可以对地图进行拖拽操作，可隐藏轨迹和删除对应图片结果；支持在地图上选择摄像机，可进行框选、圈选、多边形操作；支持摄像机查询；支持在地图上根据地图像素距离，对摄像机进行聚合展示；支持根据摄像机状态（在线/离线/计算/未计算）进行筛选展示</w:t>
            </w:r>
            <w:r>
              <w:rPr>
                <w:rFonts w:hint="eastAsia" w:asciiTheme="minorEastAsia" w:hAnsiTheme="minorEastAsia" w:eastAsiaTheme="minorEastAsia" w:cstheme="minorEastAsia"/>
                <w:color w:val="000000"/>
                <w:szCs w:val="21"/>
                <w:lang w:eastAsia="zh-CN"/>
              </w:rPr>
              <w:t xml:space="preserve">。</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支持人脸图片检测功能，在人脸微笑、大笑、张嘴、做鬼脸、皱眉、眉毛被遮挡(戴帽子、齐刘海)、闭眼、耳朵遮挡、带眼镜、半边脸遮挡等情况下，均可正确识别人脸。人脸识别准确率不低于99%</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支持机动车属性信息识别功能，支持机动车车牌号码、车牌颜色、车牌种类、车辆品牌/车系、行驶方向、车身颜色、车型等属性识别</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支持行人属性信息识别功能，支持行人年龄段、性别、上衣颜色、上衣款式、下衣颜色、下衣款式、鞋子、身姿、携包、发型、移动方向、驾驶类型等属性识别</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行为分析功能，支持对人员行为分析进行配置及检测，包括区域入侵检测、攀高检测、起身检测、值岗异常检测、人员逗留检测、绊线检测、快速移动检测、逆行检测、物品搬移检测、物品遗留检测、单人独处检测、人员聚集检测、人员发散检测、区域人数统计、绊线人数统计、人群密度估计检测、剧烈运动检测、睡岗检测、未戴口罩检测、打电话检测、玩手机检测、电瓶车禁入检测、消防车通道占用、消防通道阻塞检测、吸烟检测、违规停车检测、烟火检测、未戴安全帽检测、跌倒检测、未穿工服检测等行为分析</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多维轨迹碰撞功能，支持手机RFID/车辆/用户自定义轨迹等目标轨迹在一段时间范围内与其他数据类型的轨迹进行轨迹碰撞拟合的功能，设置的轨迹碰撞规则包括与目标轨迹经过的前后时间差范围/距离范围/待碰撞的数据类型(RFID/车辆）；碰撞任务下发后在5分钟内返回结果</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支持区域人车筛选功能，支持选定人员查询、机动车查询或非机动车查询标签，根据时间及相机区域，展示该时间区域内的过人、过车或非机动车信息</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支持视频人车筛选功能，支持选定人员查询、机动车查询或非机动车查询标签，单个摄像机实况画面圈出特定范围内，选定时间防伪，展示该时间区段内圈出范围内的人员、车辆或非机动车信息</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支持综合搜索，支持融合搜索、人脸人体关联搜索、渐进式搜索、同行伴随搜索、周期时段搜索：融合搜索支持对上传图片与人脸或人体两种条件的同时搜索，搜索结</w:t>
            </w:r>
            <w:r>
              <w:rPr>
                <w:rFonts w:hint="eastAsia" w:asciiTheme="minorEastAsia" w:hAnsiTheme="minorEastAsia" w:eastAsiaTheme="minorEastAsia" w:cstheme="minorEastAsia"/>
                <w:color w:val="000000"/>
                <w:szCs w:val="21"/>
              </w:rPr>
              <w:t xml:space="preserve">果同时呈现；人脸人体关联搜索支持在人脸比对的时候，将目标人脸特征，人体特征关联起来，摄像机未拍到目标人脸，只拍到人体的时候，可用人体特征判断，用人体的搜索结果补充人脸的搜索的结果；渐进式搜索可基于研判结果进行多次检索，通过识别系统的视图结果，不断给系统更多确定信息，系统输出更多有效线索；同行伴随搜索支持对照片/视频中多人图像进行同行搜索，多人轨迹进行交叉研判、相互验证，分析出行为规律和行为特征，识别同行人员、路径等；支持30天内周期时段的搜索；支持对搜索结果的身份信息进行确认，并在界面展示人像库中的身份信息</w:t>
            </w:r>
            <w:r>
              <w:rPr>
                <w:rFonts w:hint="eastAsia" w:asciiTheme="minorEastAsia" w:hAnsiTheme="minorEastAsia" w:eastAsiaTheme="minorEastAsia" w:cstheme="minorEastAsia"/>
                <w:color w:val="000000"/>
                <w:szCs w:val="21"/>
                <w:lang w:eastAsia="zh-CN"/>
              </w:rPr>
              <w:t xml:space="preserve">。</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支持对搜索结果的某一图片查看其前后15S的视频记录；支持对搜索结果的图片进行下载</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支持一键布控，对搜索结果进行识别过程中，如果发现目标，可以一键布控，将其加入布控目标中，如果发现该目标进入或离开区域，将会自动预警</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支持轨迹刻画功能，支持选择搜索结果，按时间顺序在地图上绘制目标的点位轨迹；地图上支持同时展示12条轨迹，支持颜色区分，支持展示各点位抓拍信息；支持针对目标搜索结果从检索库中筛选出TOP10图片展示，可查看详细信息及大图，并可下载图片；支持根据车牌号自动绘制出车辆轨迹图；支持根据轨迹情况分析目标的疑似落脚点</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支持背影寻人功能，支持上传目标人员背影图片，系统根据目标体态特征搜索出人脸图片</w:t>
            </w:r>
            <w:r>
              <w:rPr>
                <w:rFonts w:hint="eastAsia" w:asciiTheme="minorEastAsia" w:hAnsiTheme="minorEastAsia" w:eastAsiaTheme="minorEastAsia" w:cstheme="minorEastAsia"/>
                <w:color w:val="000000"/>
                <w:szCs w:val="21"/>
                <w:lang w:eastAsia="zh-CN"/>
              </w:rPr>
              <w:t xml:space="preserve">。</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支持研判轨迹结果进行归档，对归档结果支持查看、编辑、删除等操作；支持对归档结果还原、导出，可导出图片、视频、文档</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支持目标布控，支持对目标人脸布控，下发相似度阈值等布控条件；支持车牌布控</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具有1个500W交流电源，支持1个冗余电源</w:t>
            </w:r>
            <w:r>
              <w:rPr>
                <w:rFonts w:hint="eastAsia" w:asciiTheme="minorEastAsia" w:hAnsiTheme="minorEastAsia" w:eastAsiaTheme="minorEastAsia" w:cstheme="minorEastAsia"/>
                <w:color w:val="000000"/>
                <w:szCs w:val="21"/>
                <w:lang w:eastAsia="zh-CN"/>
              </w:rPr>
              <w:t xml:space="preserve">。</w:t>
            </w:r>
            <w:r/>
          </w:p>
          <w:p>
            <w:pPr>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 xml:space="preserve">整机支持插入2张智能分析卡，最大可达16颗GPU芯片</w:t>
            </w:r>
            <w:r>
              <w:rPr>
                <w:rFonts w:hint="eastAsia" w:asciiTheme="minorEastAsia" w:hAnsiTheme="minorEastAsia" w:eastAsiaTheme="minorEastAsia" w:cstheme="minorEastAsia"/>
                <w:color w:val="000000"/>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Cs w:val="21"/>
              </w:rPr>
              <w:t xml:space="preserve">支持4个硬盘槽位；3个10/100/1000Base-T网口；1个VGA接口；后面板2个USB3.0接口，前面板2个USB2.0接口最大支持192GB内存</w:t>
            </w:r>
            <w:r>
              <w:rPr>
                <w:rFonts w:hint="eastAsia" w:asciiTheme="minorEastAsia" w:hAnsiTheme="minorEastAsia" w:eastAsiaTheme="minorEastAsia" w:cstheme="minorEastAsia"/>
                <w:color w:val="000000"/>
                <w:szCs w:val="21"/>
                <w:lang w:eastAsia="zh-CN"/>
              </w:rPr>
              <w:t xml:space="preserve">。</w:t>
            </w:r>
            <w:r/>
          </w:p>
        </w:tc>
        <w:tc>
          <w:tcPr>
            <w:shd w:val="clear" w:color="auto" w:fill="auto"/>
            <w:tcBorders>
              <w:top w:val="none" w:color="000000" w:sz="4" w:space="0"/>
              <w:left w:val="single" w:color="auto" w:sz="4" w:space="0"/>
              <w:bottom w:val="single" w:color="000000"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none" w:color="000000" w:sz="4" w:space="0"/>
              <w:left w:val="single" w:color="auto" w:sz="4" w:space="0"/>
              <w:bottom w:val="single" w:color="000000" w:sz="4" w:space="0"/>
              <w:right w:val="single" w:color="auto" w:sz="4" w:space="0"/>
            </w:tcBorders>
            <w:tcW w:w="87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1</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12-36盘位单控8TB企业级SATA硬盘</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color w:val="000000"/>
                <w:szCs w:val="21"/>
                <w:highlight w:val="none"/>
                <w:lang w:bidi="ar"/>
              </w:rPr>
              <w:t xml:space="preserve">硬盘容量：8TB；硬盘尺寸：3.5英寸，硬盘类型：企业级；硬盘缓存：不低于256MB；硬盘转速不小于7200RPM；</w:t>
            </w:r>
            <w:r>
              <w:rPr>
                <w:rFonts w:hint="eastAsia" w:asciiTheme="minorEastAsia" w:hAnsiTheme="minorEastAsia" w:eastAsiaTheme="minorEastAsia" w:cstheme="minorEastAsia"/>
                <w:color w:val="000000"/>
                <w:szCs w:val="21"/>
                <w:highlight w:val="none"/>
                <w:lang w:bidi="ar"/>
              </w:rPr>
              <w:br/>
            </w:r>
            <w:r>
              <w:rPr>
                <w:rFonts w:hint="eastAsia" w:asciiTheme="minorEastAsia" w:hAnsiTheme="minorEastAsia" w:eastAsiaTheme="minorEastAsia" w:cstheme="minorEastAsia"/>
                <w:color w:val="000000"/>
                <w:szCs w:val="21"/>
                <w:highlight w:val="none"/>
                <w:lang w:bidi="ar"/>
              </w:rPr>
              <w:t xml:space="preserve">硬盘外部传输速率不小于6Gb/s；</w:t>
            </w:r>
            <w:r>
              <w:rPr>
                <w:rFonts w:hint="eastAsia" w:asciiTheme="minorEastAsia" w:hAnsiTheme="minorEastAsia" w:eastAsiaTheme="minorEastAsia" w:cstheme="minorEastAsia"/>
                <w:color w:val="000000"/>
                <w:szCs w:val="21"/>
                <w:highlight w:val="none"/>
                <w:lang w:bidi="ar"/>
              </w:rPr>
              <w:br/>
            </w:r>
            <w:r>
              <w:rPr>
                <w:rFonts w:hint="eastAsia" w:asciiTheme="minorEastAsia" w:hAnsiTheme="minorEastAsia" w:eastAsiaTheme="minorEastAsia" w:cstheme="minorEastAsia"/>
                <w:color w:val="000000"/>
                <w:szCs w:val="21"/>
                <w:highlight w:val="none"/>
                <w:lang w:bidi="ar"/>
              </w:rPr>
              <w:t xml:space="preserve">适配盘位数：36盘位及以下。</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361"/>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视图内容解析软件</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支持本域摄像机数接入≥500；可管理摄像机总数≥5000路。</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支持通过GB/T28181、ONVIF等联网协议接入相关设备；支持将ONVIF媒体流转封装为GB/T28181媒体流；媒体流入口性能≥1024Mbps，出口性能≥2048Mbps。</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支持GA/T1400协议、GA/WA3011等联网协议；图片接入、转发性能≥256Mbps；复核小图+大图URL+结构化数据接入、转发性能≥320条/s。</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支持抽帧和轮巡功能：支持抽帧时间间隔可配置≥1s，按照每1s抽帧分析；最小轮巡时间间隔20S，最大支持的轮巡路数5000路。</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支持接入视频流、图片流解析</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大数据能力：支持≥400万库容,结构化库容≥1.5亿，支持热、温、冷数据分级存储到内存、SSD硬盘、HDD硬盘中。</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支持调用GIS地图引擎，可以框选摄像头，支持框选，圈选，多边形选择和取消框选；支持右键框选和左侧工具栏点击框选按钮框选。</w:t>
            </w:r>
            <w:r/>
          </w:p>
          <w:p>
            <w:pPr>
              <w:ind w:firstLine="210"/>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支持语义检索：支持输入任意自然语言，系统可返回符合文字描述的分析结果，比如一个人拿着红白相间的编织袋，系统会返回人和红白编织袋同时出现的相关图片。</w:t>
            </w:r>
            <w:r/>
          </w:p>
          <w:p>
            <w:pPr>
              <w:ind w:firstLine="210"/>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支持图片检索：支持批量上传多张图片，同时对于已上传图片，支持对目标图片做框选操作，系统可返回符合图片特征的分析结果。</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支持一键检索：基于一次语义或者图搜检索得到的结果，系统支持进行再次检索，用户通过识别系统检索出的视图结果，点击一键检索，不断给系统更多确定信息进行重新检索，将得到更精确的线索。</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支持一键研判：针对已检索出分析结果，可点击一键研判，系统将自动图片带入到智能研判界面，进行机非人精准检索。</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点位治理性能：支持标签、点位编码、点位名称、场所、语义搜全局搜索相机或者场所。</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支持通过输入自然语言用于自定义配置文字布控任务类型，可配置灵敏度和报警触发时间、报警间隔以及布控时间。</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支持展示历史报警记录，单个预警记录支持查看详情、下载、查看录像操作；支持通过可视化图表形式对报警记录进行统计，报警结果可按照分析类型、报警点位、报警时间进行查询。</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支持抽帧功能，时间间隔可配置：大于等于1s，按照每1s抽帧分析； </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★支持大于1000种物品属性自定义检索。 可根据场景检索和IPC命名下发万物搜任务；</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支持图片检索：支持批量上传多张图片，同时对于已上传图片，支持对目标图片做框选操作，系统可返回符合图片特征的分析结果；支持检索时间和空间资源树或地图框选选择相机检索范围；</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Cs w:val="21"/>
              </w:rPr>
              <w:t xml:space="preserve">支持通过输入自然语言用于自定义配置文字布控任务类型；支持文字布控自定义业务增删查；支持文字布控自定义业务隐藏、显示。</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1</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39</w:t>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语音识别席位数授权函</w:t>
            </w:r>
            <w:r/>
          </w:p>
        </w:tc>
        <w:tc>
          <w:tcPr>
            <w:shd w:val="clear" w:color="auto" w:fill="auto"/>
            <w:tcBorders>
              <w:top w:val="single" w:color="auto"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主要参数:语音识别席位数授权</w:t>
            </w:r>
            <w:r>
              <w:rPr>
                <w:rFonts w:hint="eastAsia" w:asciiTheme="minorEastAsia" w:hAnsiTheme="minorEastAsia" w:eastAsiaTheme="minorEastAsia" w:cstheme="minorEastAsia"/>
                <w:i w:val="0"/>
                <w:iCs w:val="0"/>
                <w:color w:val="000000"/>
                <w:sz w:val="21"/>
                <w:szCs w:val="21"/>
                <w:highlight w:val="none"/>
                <w:u w:val="none"/>
                <w:lang w:val="en-US" w:eastAsia="zh-CN" w:bidi="ar"/>
              </w:rPr>
              <w:br/>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推荐操作系统:openEuler 22.03 </w:t>
            </w:r>
            <w:r>
              <w:rPr>
                <w:rFonts w:hint="eastAsia" w:asciiTheme="minorEastAsia" w:hAnsiTheme="minorEastAsia" w:eastAsiaTheme="minorEastAsia" w:cstheme="minorEastAsia"/>
                <w:i w:val="0"/>
                <w:iCs w:val="0"/>
                <w:color w:val="000000"/>
                <w:sz w:val="21"/>
                <w:szCs w:val="21"/>
                <w:highlight w:val="none"/>
                <w:u w:val="none"/>
                <w:lang w:val="en-US" w:eastAsia="zh-CN" w:bidi="ar"/>
              </w:rPr>
              <w:br/>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推荐CPU:8核16线程</w:t>
            </w:r>
            <w:r>
              <w:rPr>
                <w:rFonts w:hint="eastAsia" w:asciiTheme="minorEastAsia" w:hAnsiTheme="minorEastAsia" w:eastAsiaTheme="minorEastAsia" w:cstheme="minorEastAsia"/>
                <w:i w:val="0"/>
                <w:iCs w:val="0"/>
                <w:color w:val="000000"/>
                <w:sz w:val="21"/>
                <w:szCs w:val="21"/>
                <w:highlight w:val="none"/>
                <w:u w:val="none"/>
                <w:lang w:val="en-US" w:eastAsia="zh-CN" w:bidi="ar"/>
              </w:rPr>
              <w:br/>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推荐内存:32G</w:t>
            </w:r>
            <w:r>
              <w:rPr>
                <w:rFonts w:hint="eastAsia" w:asciiTheme="minorEastAsia" w:hAnsiTheme="minorEastAsia" w:eastAsiaTheme="minorEastAsia" w:cstheme="minorEastAsia"/>
                <w:i w:val="0"/>
                <w:iCs w:val="0"/>
                <w:color w:val="000000"/>
                <w:sz w:val="21"/>
                <w:szCs w:val="21"/>
                <w:highlight w:val="none"/>
                <w:u w:val="none"/>
                <w:lang w:val="en-US" w:eastAsia="zh-CN" w:bidi="ar"/>
              </w:rPr>
              <w:br/>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推荐硬盘:500G</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39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40</w:t>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视频内容解析路数授权函</w:t>
            </w:r>
            <w:r/>
          </w:p>
        </w:tc>
        <w:tc>
          <w:tcPr>
            <w:shd w:val="clear" w:color="auto" w:fill="auto"/>
            <w:tcBorders>
              <w:top w:val="single" w:color="auto"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highlight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主要参数:100路视频内容解析路数授权</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273"/>
        </w:trPr>
        <w:tc>
          <w:tcPr>
            <w:shd w:val="clear" w:color="auto" w:fill="auto"/>
            <w:tcBorders>
              <w:top w:val="none" w:color="000000" w:sz="4" w:space="0"/>
              <w:left w:val="single" w:color="auto" w:sz="4" w:space="0"/>
              <w:right w:val="single" w:color="auto" w:sz="4" w:space="0"/>
            </w:tcBorders>
            <w:tcW w:w="70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41</w:t>
            </w:r>
            <w:r/>
          </w:p>
        </w:tc>
        <w:tc>
          <w:tcPr>
            <w:shd w:val="clear" w:color="auto" w:fill="auto"/>
            <w:tcBorders>
              <w:top w:val="none" w:color="000000" w:sz="4" w:space="0"/>
              <w:left w:val="none" w:color="000000" w:sz="4" w:space="0"/>
              <w:right w:val="single" w:color="auto" w:sz="4" w:space="0"/>
            </w:tcBorders>
            <w:tcW w:w="115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AI以文搜图</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AI以文搜图提供通过语句搜索图片和研判功能。</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一、自然语言检索 </w:t>
            </w:r>
            <w:r/>
          </w:p>
          <w:p>
            <w:pPr>
              <w:jc w:val="left"/>
              <w:rPr>
                <w:rFonts w:hint="eastAsia"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★支持展示及快速搜索快捷提示词，可根据登录用户展示热门搜索关键词；同时保留并模糊匹配最近文本搜索记录，提供快捷搜索功能，支持对搜索记录进行单个删除</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 </w:t>
            </w:r>
            <w:r/>
          </w:p>
          <w:p>
            <w:pPr>
              <w:jc w:val="left"/>
              <w:rPr>
                <w:rFonts w:hint="eastAsia"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支持自然语言输入，系统可自动提取语言特征并与图片特征比对实现目标搜索；支持开启语义解析功能，自动提取人车结构化特征或时空信息作为搜索条件，并可修改解析结果及跳转专业搜图；同时提供切换搜索类型(目标/万物/全部)、配置时间与点位范围、修改相似度范围及实时模湖匹配历史记录的功能</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rPr>
                <w:rFonts w:hint="eastAsia" w:asciiTheme="minorEastAsia" w:hAnsiTheme="minorEastAsia" w:eastAsiaTheme="minorEastAsia" w:cstheme="minorEastAsia"/>
                <w:color w:val="000000"/>
                <w:szCs w:val="21"/>
              </w:rPr>
              <w:t xml:space="preserve">；</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支持开启语义解析，自动提取自然语言中的时间和空间信息作为查询条件，可对系统提取的时空信息进行修改；</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支持选择时间范围或多个时间段进行查询；</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支持地图选点，组织树目录选点的方式选择点位范围；</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支持在输入框中输入文本时，实时模糊匹配文本历史搜索记录，可选择检索记录进行查询；</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Cs w:val="21"/>
              </w:rPr>
              <w:t xml:space="preserve">支持上传目标局部特征图片进行检索。</w:t>
            </w:r>
            <w:r/>
          </w:p>
        </w:tc>
        <w:tc>
          <w:tcPr>
            <w:shd w:val="clear" w:color="auto" w:fill="auto"/>
            <w:tcBorders>
              <w:top w:val="none" w:color="000000" w:sz="4" w:space="0"/>
              <w:left w:val="none" w:color="000000" w:sz="4" w:space="0"/>
              <w:right w:val="single" w:color="auto" w:sz="4" w:space="0"/>
            </w:tcBorders>
            <w:tcW w:w="67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right w:val="single" w:color="auto" w:sz="4" w:space="0"/>
            </w:tcBorders>
            <w:tcW w:w="87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273"/>
        </w:trPr>
        <w:tc>
          <w:tcPr>
            <w:shd w:val="clear" w:color="auto" w:fill="auto"/>
            <w:tcBorders>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二、查询结果</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支持展示搜索抓拍结果，包括目标图片、抓拍时间、抓拍地点等；</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支持切换结果大小图模式；</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支持查看目标详情，包括抓拍场景图、地理位置信息和特征信息，支持进行视频回放；</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支持对抓拍结果进行导出，可导出选中结果、导出全部结果，导出全部时可选择导出格式、导出图片信息、导出字段，可按相似度导出；</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支持页面搜索结果进行时间正序排序、时间倒序排序、匹配度倒序排序功能，默认匹配度倒序排序；</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支持按目标类型对结果进行二次查询；</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支持对结果生成轨迹或加入线索库，与其他研判结果形成融合轨迹；</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支持对查询结果进行身份确认、以图搜图和局部特征检索。</w:t>
            </w:r>
            <w:r/>
          </w:p>
        </w:tc>
        <w:tc>
          <w:tcPr>
            <w:shd w:val="clear" w:color="auto" w:fill="auto"/>
            <w:tcBorders>
              <w:left w:val="none" w:color="000000"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810"/>
        </w:trPr>
        <w:tc>
          <w:tcPr>
            <w:shd w:val="clear" w:color="auto" w:fill="auto"/>
            <w:tcBorders>
              <w:top w:val="none" w:color="000000" w:sz="4" w:space="0"/>
              <w:left w:val="single" w:color="auto" w:sz="4" w:space="0"/>
              <w:right w:val="single" w:color="auto" w:sz="4" w:space="0"/>
            </w:tcBorders>
            <w:tcW w:w="70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42</w:t>
            </w:r>
            <w:r/>
          </w:p>
        </w:tc>
        <w:tc>
          <w:tcPr>
            <w:shd w:val="clear" w:color="auto" w:fill="auto"/>
            <w:tcBorders>
              <w:top w:val="none" w:color="000000" w:sz="4" w:space="0"/>
              <w:left w:val="none" w:color="000000" w:sz="4" w:space="0"/>
              <w:right w:val="single" w:color="auto" w:sz="4" w:space="0"/>
            </w:tcBorders>
            <w:tcW w:w="115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AI以图搜图</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AI以图搜图提供局部特征检索和研判功能。</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一、局部特征检索</w:t>
            </w:r>
            <w:r/>
          </w:p>
          <w:p>
            <w:pPr>
              <w:jc w:val="left"/>
              <w:rPr>
                <w:rFonts w:hint="eastAsia"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支持通过本地上传、拖拽上传或历史记录选择图片，系统自动提取特征并与抓拍图片比对实现目标搜索；支持手动框选万物目标搜图及自动识别人车非目标并跳转专业搜图，同时可切换搜索类型(目标/万物/全部)、配置时间与点位范围及修改相似度范围</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rPr>
                <w:rFonts w:hint="eastAsia" w:asciiTheme="minorEastAsia" w:hAnsiTheme="minorEastAsia" w:eastAsiaTheme="minorEastAsia" w:cstheme="minorEastAsia"/>
                <w:color w:val="000000"/>
                <w:szCs w:val="21"/>
              </w:rPr>
              <w:t xml:space="preserve">；</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支持从上传的图片中检测人车、万物目标，进行查询；支持手动框选目标进行查询；</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支持修改查询相似度；</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支持选择时间范围或多个时间段进行查询；</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Cs w:val="21"/>
              </w:rPr>
              <w:t xml:space="preserve">支持地图选点，组织树目录选点的方式选择点位范围。</w:t>
            </w:r>
            <w:r/>
          </w:p>
        </w:tc>
        <w:tc>
          <w:tcPr>
            <w:shd w:val="clear" w:color="auto" w:fill="auto"/>
            <w:tcBorders>
              <w:top w:val="none" w:color="000000" w:sz="4" w:space="0"/>
              <w:left w:val="none" w:color="000000" w:sz="4" w:space="0"/>
              <w:right w:val="single" w:color="auto" w:sz="4" w:space="0"/>
            </w:tcBorders>
            <w:tcW w:w="67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right w:val="single" w:color="auto" w:sz="4" w:space="0"/>
            </w:tcBorders>
            <w:tcW w:w="87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810"/>
        </w:trPr>
        <w:tc>
          <w:tcPr>
            <w:shd w:val="clear" w:color="auto" w:fill="auto"/>
            <w:tcBorders>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二、查询结果</w:t>
            </w:r>
            <w:r/>
          </w:p>
          <w:p>
            <w:pPr>
              <w:jc w:val="left"/>
              <w:rPr>
                <w:rFonts w:hint="eastAsia"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支持搜索抓拍结果展示，呈现目标图片、时间和地点信息，可切换展示模式和排序方式，查看目标详情及视频回放；支持导出图片并设置格式与字段条件，支持选择抓拍结果生成地图轨迹或加入线索库。提供AI以图搜图及针对不同目标类型的视频回放、专项搜图操作</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rPr>
                <w:rFonts w:hint="eastAsia" w:asciiTheme="minorEastAsia" w:hAnsiTheme="minorEastAsia" w:eastAsiaTheme="minorEastAsia" w:cstheme="minorEastAsia"/>
                <w:color w:val="000000"/>
                <w:szCs w:val="21"/>
              </w:rPr>
              <w:t xml:space="preserve">；</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支持对目标图和结果图进行对比，支持放大对比细节；</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支持查看目标详情，包括抓拍场景图、地理位置信息和特征信息，支持进行视频回放；</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支持对抓拍结果进行导出，可导出选中结果、导出全部结果，导出全部时可选择导出格式、导出图片信息、导出字段；</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支持页面搜索结果进行时间正序排序、时间倒序排序、匹配度倒序排序功能，默认匹配度倒序排序；</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支持对结果生成轨迹或加入线索库，与其他研判结果形成融合轨迹；</w:t>
            </w:r>
            <w:r/>
          </w:p>
          <w:p>
            <w:pPr>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支持对查询结果进行以图搜图，进行递进式研判；</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Cs w:val="21"/>
              </w:rPr>
              <w:t xml:space="preserve">支持对查询结果进行再次局部特征检索，获取更多线索。</w:t>
            </w:r>
            <w:r/>
          </w:p>
        </w:tc>
        <w:tc>
          <w:tcPr>
            <w:shd w:val="clear" w:color="auto" w:fill="auto"/>
            <w:tcBorders>
              <w:left w:val="none" w:color="000000"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服务器数量</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支持算法运行的GPU服务器设备数量；</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GPU卡授权</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人车非图片分析算法并发需要的卡的数量</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卡</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多模态大模型图片算法</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支持对输入的视频结构化、开放式目标检测等类型的图片进行特征提取。检索时，对目标文本进行建模，通过与图片特征库进行比对排序，实现以文搜目标、以文搜视频等多模态大模型应用。</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774"/>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敏感词过滤</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作为多模态大模型以及语言模型内容生成场景下敏感性过滤的一道重要卡点，有效保障应用问答的安全合规性。</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光汇聚交换机</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24口千兆、4光口万兆</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w:t>
            </w:r>
            <w:r/>
          </w:p>
        </w:tc>
      </w:tr>
      <w:tr>
        <w:trPr>
          <w:trHeight w:val="492"/>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光模块</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单模万兆 双纤</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尾纤</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单模双芯 30米</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r>
      <w:tr>
        <w:trPr>
          <w:trHeight w:val="63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理线器</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钢质 24口</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w:t>
            </w:r>
            <w:r/>
          </w:p>
        </w:tc>
      </w:tr>
      <w:tr>
        <w:trPr>
          <w:trHeight w:val="540"/>
        </w:trPr>
        <w:tc>
          <w:tcPr>
            <w:shd w:val="clear" w:color="auto" w:fill="auto"/>
            <w:tcBorders>
              <w:top w:val="none" w:color="000000" w:sz="4" w:space="0"/>
              <w:left w:val="single" w:color="auto" w:sz="4" w:space="0"/>
              <w:right w:val="single" w:color="auto" w:sz="4" w:space="0"/>
            </w:tcBorders>
            <w:tcW w:w="70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51</w:t>
            </w:r>
            <w:r/>
          </w:p>
        </w:tc>
        <w:tc>
          <w:tcPr>
            <w:shd w:val="clear" w:color="auto" w:fill="auto"/>
            <w:tcBorders>
              <w:top w:val="none" w:color="000000" w:sz="4" w:space="0"/>
              <w:left w:val="none" w:color="000000" w:sz="4" w:space="0"/>
              <w:right w:val="single" w:color="auto" w:sz="4" w:space="0"/>
            </w:tcBorders>
            <w:tcW w:w="115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云存储主机及硬盘</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云存储主机及硬盘</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单机配备48块12T专用硬盘，服务器配置：≥2颗64位多核处理器，≥16GB内存，内存支持扩展到≥256GB，内置SSD固态硬盘，配置≥6个风扇，支持风扇热插拔冗余温控调速风扇；支持热插拔1+1AC220V</w:t>
            </w:r>
            <w:r>
              <w:rPr>
                <w:rFonts w:hint="eastAsia" w:asciiTheme="minorEastAsia" w:hAnsiTheme="minorEastAsia" w:eastAsiaTheme="minorEastAsia" w:cstheme="minorEastAsia"/>
                <w:sz w:val="21"/>
                <w:szCs w:val="21"/>
                <w:lang w:eastAsia="zh-CN"/>
              </w:rPr>
              <w:t xml:space="preserve">；</w:t>
            </w:r>
            <w:r/>
          </w:p>
          <w:p>
            <w:pPr>
              <w:jc w:val="left"/>
              <w:spacing w:after="0"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可接入2T/3T/4T/6T/8T/10T/12T/14T/16T/18T/20T/25T/26T SATA/SAS硬盘；支持NL-SAS 硬盘、HDD硬盘、SSD硬盘、氦气硬盘、空气硬盘；支持 CMR或SMR硬盘；支持硬盘交错/分时启动，节省功耗。具有48块硬盘热插拔插槽；支持硬盘热插拔设备在读写数据时，热插拔设备内的任意块硬盘，设备正常运行不宕机，硬盘不损坏，数据不丢失，业务不中断</w:t>
            </w:r>
            <w:r>
              <w:rPr>
                <w:rFonts w:hint="eastAsia" w:asciiTheme="minorEastAsia" w:hAnsiTheme="minorEastAsia" w:eastAsiaTheme="minorEastAsia" w:cstheme="minorEastAsia"/>
                <w:sz w:val="21"/>
                <w:szCs w:val="21"/>
                <w:lang w:eastAsia="zh-CN"/>
              </w:rPr>
              <w:t xml:space="preserve">。</w:t>
            </w:r>
            <w:r/>
          </w:p>
          <w:p>
            <w:pPr>
              <w:jc w:val="left"/>
              <w:spacing w:after="0"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Theme="minorEastAsia" w:hAnsiTheme="minorEastAsia" w:eastAsiaTheme="minorEastAsia" w:cstheme="minorEastAsia"/>
                <w:sz w:val="21"/>
                <w:szCs w:val="21"/>
                <w:lang w:eastAsia="zh-CN"/>
              </w:rPr>
              <w:t xml:space="preserve">。</w:t>
            </w:r>
            <w:r/>
          </w:p>
        </w:tc>
        <w:tc>
          <w:tcPr>
            <w:shd w:val="clear" w:color="auto" w:fill="auto"/>
            <w:tcBorders>
              <w:top w:val="none" w:color="000000" w:sz="4" w:space="0"/>
              <w:left w:val="none" w:color="000000"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台</w:t>
            </w:r>
            <w:r/>
          </w:p>
        </w:tc>
        <w:tc>
          <w:tcPr>
            <w:shd w:val="clear" w:color="auto" w:fill="auto"/>
            <w:tcBorders>
              <w:top w:val="none" w:color="000000" w:sz="4" w:space="0"/>
              <w:left w:val="none" w:color="000000" w:sz="4" w:space="0"/>
              <w:right w:val="single" w:color="auto" w:sz="4" w:space="0"/>
            </w:tcBorders>
            <w:tcW w:w="87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p>
        </w:tc>
      </w:tr>
      <w:tr>
        <w:trPr>
          <w:trHeight w:val="300"/>
        </w:trPr>
        <w:tc>
          <w:tcPr>
            <w:shd w:val="clear" w:color="auto" w:fill="auto"/>
            <w:tcBorders>
              <w:left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★支持存储实时视频、视频片段、图片及伴生的智能结构化数据，支持根据结构化数据的类型检索视频，检索条件包括前端点位ID、时间段、视频目标类型（包含人、机动车、非机动车等）。</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支持图形化页面对图片数据进行处理，包括图片预览、压缩、裁剪、旋转、缩放、格式转换、马赛克、归一化及打文字水印，并支持通过图形化页面下载处理成功的图片数据</w:t>
            </w:r>
            <w:r>
              <w:rPr>
                <w:rFonts w:hint="eastAsia" w:asciiTheme="minorEastAsia" w:hAnsiTheme="minorEastAsia" w:eastAsiaTheme="minorEastAsia" w:cstheme="minorEastAsia"/>
                <w:sz w:val="21"/>
                <w:szCs w:val="21"/>
                <w:lang w:eastAsia="zh-CN"/>
              </w:rPr>
              <w:t xml:space="preserve">。</w:t>
            </w:r>
            <w:r/>
          </w:p>
          <w:p>
            <w:pPr>
              <w:jc w:val="left"/>
              <w:spacing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★系统同时提供多副本、Erasure Code数据保护机制，其中Erasure Code安全级别可支持设置44+4，安全级别可在线动态修改，系统根据当前节点状态使用相应的容错算法。</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tc>
        <w:tc>
          <w:tcPr>
            <w:shd w:val="clear" w:color="auto" w:fill="auto"/>
            <w:tcBorders>
              <w:left w:val="non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540"/>
        </w:trPr>
        <w:tc>
          <w:tcPr>
            <w:shd w:val="clear" w:color="auto" w:fill="auto"/>
            <w:tcBorders>
              <w:left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支持数据冗余N+M模式下，当损坏节点数量超过M台（或数据块超过M）时，系统内的正常存储节点不少于1台，业务仍可持续写入，且存留的视频数据仍可进行回放，回放数据无马赛克。当故障存储或者硬盘上线后，损坏数据可自动恢复（提供公</w:t>
            </w:r>
            <w:r>
              <w:rPr>
                <w:rFonts w:hint="eastAsia" w:asciiTheme="minorEastAsia" w:hAnsiTheme="minorEastAsia" w:eastAsiaTheme="minorEastAsia" w:cstheme="minorEastAsia"/>
                <w:sz w:val="21"/>
                <w:szCs w:val="21"/>
              </w:rPr>
              <w:t xml:space="preserve">安部或第三方权威机构检测报告）；系统以流直存模式进行录像、图片数据存储。系统中的实时视频流、抓拍图片无需经过任何转发服务器/虚拟机即可实现数据流直存，视频与图片数据直存后可即存即取；支持延迟踢盘，防止误拔硬盘导致数据破坏；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存储节点具有防偶发死机的措施，死机后的自愈恢复时间应≤3min；</w:t>
            </w:r>
            <w:r/>
          </w:p>
        </w:tc>
        <w:tc>
          <w:tcPr>
            <w:shd w:val="clear" w:color="auto" w:fill="auto"/>
            <w:tcBorders>
              <w:left w:val="non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540"/>
        </w:trPr>
        <w:tc>
          <w:tcPr>
            <w:shd w:val="clear" w:color="auto" w:fill="auto"/>
            <w:tcBorders>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15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spacing w:after="0"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支持集群管理功能，包括集群单元弹性扩容、负载均衡、故</w:t>
            </w:r>
            <w:r>
              <w:rPr>
                <w:rFonts w:hint="eastAsia" w:asciiTheme="minorEastAsia" w:hAnsiTheme="minorEastAsia" w:eastAsiaTheme="minorEastAsia" w:cstheme="minorEastAsia"/>
                <w:sz w:val="21"/>
                <w:szCs w:val="21"/>
              </w:rPr>
              <w:t xml:space="preserve">障迁移等；支持集群节点生命周期管理，支持集群节点服务组建、扩展、删除；负载均衡：1.节点离线、磁盘离线、节点过载、扩容存储节点，自动调整录像、图片、对象业务，实现集群均衡负载；2.域内节点部分带缓存加速盘，部分不带缓存加速盘，图片数据可自动路由存储缓存加速盘；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rPr>
                <w:rFonts w:hint="eastAsia" w:asciiTheme="minorEastAsia" w:hAnsiTheme="minorEastAsia" w:eastAsiaTheme="minorEastAsia" w:cstheme="minorEastAsia"/>
                <w:sz w:val="21"/>
                <w:szCs w:val="21"/>
                <w:lang w:eastAsia="zh-CN"/>
              </w:rPr>
              <w:t xml:space="preserve">。</w:t>
            </w:r>
            <w:r/>
          </w:p>
          <w:p>
            <w:pPr>
              <w:jc w:val="left"/>
              <w:spacing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★系统支持多级加速：支持对不同规格图片数据分级加速存储，小图支持SSD缓存加速，大图支持内存加速；系统支持自定义设置内存加速缓存大小、SSD缓存加速池容量大小，可最高针对4096 KB 图片加速提取</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tc>
        <w:tc>
          <w:tcPr>
            <w:shd w:val="clear" w:color="auto" w:fill="auto"/>
            <w:tcBorders>
              <w:left w:val="none" w:color="000000"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87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432"/>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安装及调试费</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含3年免费维保、辅材</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设备后期维护</w:t>
            </w:r>
            <w:r/>
          </w:p>
        </w:tc>
        <w:tc>
          <w:tcPr>
            <w:shd w:val="clear" w:color="auto" w:fill="auto"/>
            <w:tcBorders>
              <w:top w:val="none" w:color="000000" w:sz="4" w:space="0"/>
              <w:left w:val="none" w:color="000000" w:sz="4" w:space="0"/>
              <w:bottom w:val="single" w:color="auto" w:sz="4" w:space="0"/>
              <w:right w:val="single" w:color="auto" w:sz="4" w:space="0"/>
            </w:tcBorders>
            <w:tcW w:w="591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设备第四、第五年维护</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Cs w:val="21"/>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widowControl/>
              <w:rPr>
                <w:rFonts w:hint="eastAsia" w:asciiTheme="minorEastAsia" w:hAnsiTheme="minorEastAsia" w:eastAsiaTheme="minorEastAsia" w:cstheme="minorEastAsia"/>
                <w:i w:val="0"/>
                <w:iCs w:val="0"/>
                <w:color w:val="000000"/>
                <w:sz w:val="21"/>
                <w:szCs w:val="21"/>
                <w:u w:val="none"/>
                <w:lang w:val="en-US" w:eastAsia="zh-CN" w:bidi="ar"/>
              </w:rPr>
            </w:pPr>
            <w:r>
              <w:rPr>
                <w:rFonts w:hint="eastAsia" w:ascii="宋体" w:hAnsi="宋体" w:cs="宋体"/>
                <w:color w:val="000000"/>
                <w:sz w:val="22"/>
                <w:szCs w:val="22"/>
              </w:rPr>
              <w:t xml:space="preserve">网络专线费</w:t>
            </w:r>
            <w:r/>
          </w:p>
        </w:tc>
        <w:tc>
          <w:tcPr>
            <w:shd w:val="clear" w:color="auto" w:fill="auto"/>
            <w:tcBorders>
              <w:top w:val="single" w:color="auto" w:sz="4" w:space="0"/>
              <w:left w:val="single" w:color="auto" w:sz="4" w:space="0"/>
              <w:bottom w:val="single" w:color="auto" w:sz="4" w:space="0"/>
              <w:right w:val="single" w:color="auto" w:sz="4" w:space="0"/>
            </w:tcBorders>
            <w:tcW w:w="5910" w:type="dxa"/>
            <w:vAlign w:val="center"/>
            <w:textDirection w:val="lrTb"/>
            <w:noWrap w:val="false"/>
          </w:tcPr>
          <w:p>
            <w:pPr>
              <w:jc w:val="left"/>
              <w:widowControl/>
              <w:rPr>
                <w:rFonts w:hint="eastAsia" w:asciiTheme="minorEastAsia" w:hAnsiTheme="minorEastAsia" w:eastAsiaTheme="minorEastAsia" w:cstheme="minorEastAsia"/>
                <w:i w:val="0"/>
                <w:iCs w:val="0"/>
                <w:color w:val="000000"/>
                <w:sz w:val="21"/>
                <w:szCs w:val="21"/>
                <w:u w:val="none"/>
                <w:lang w:val="en-US" w:eastAsia="zh-CN" w:bidi="ar"/>
              </w:rPr>
            </w:pPr>
            <w:r>
              <w:rPr>
                <w:rFonts w:ascii="宋体" w:hAnsi="宋体" w:cs="宋体"/>
                <w:color w:val="000000"/>
                <w:szCs w:val="22"/>
              </w:rPr>
              <w:t xml:space="preserve">租用网络运营商</w:t>
            </w:r>
            <w:r>
              <w:rPr>
                <w:rFonts w:hint="eastAsia" w:ascii="宋体" w:hAnsi="宋体" w:cs="宋体"/>
                <w:color w:val="000000"/>
                <w:szCs w:val="22"/>
              </w:rPr>
              <w:t xml:space="preserve">4</w:t>
            </w:r>
            <w:r>
              <w:rPr>
                <w:rFonts w:ascii="宋体" w:hAnsi="宋体" w:cs="宋体"/>
                <w:color w:val="000000"/>
                <w:szCs w:val="22"/>
              </w:rPr>
              <w:t xml:space="preserve">条网络专线（租期3年）</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hint="eastAsia" w:asciiTheme="minorEastAsia" w:hAnsiTheme="minorEastAsia" w:eastAsiaTheme="minorEastAsia" w:cstheme="minorEastAsia"/>
                <w:i w:val="0"/>
                <w:iCs w:val="0"/>
                <w:color w:val="000000"/>
                <w:sz w:val="21"/>
                <w:szCs w:val="21"/>
                <w:u w:val="none"/>
                <w:lang w:val="en-US" w:eastAsia="zh-CN" w:bidi="ar"/>
              </w:rPr>
            </w:pPr>
            <w:r>
              <w:rPr>
                <w:rFonts w:hint="eastAsia" w:asciiTheme="minorEastAsia" w:hAnsiTheme="minorEastAsia" w:eastAsiaTheme="minorEastAsia" w:cstheme="minorEastAsia"/>
                <w:color w:val="000000"/>
                <w:szCs w:val="21"/>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rPr>
                <w:rFonts w:hint="eastAsia" w:asciiTheme="minorEastAsia" w:hAnsiTheme="minorEastAsia" w:eastAsiaTheme="minorEastAsia" w:cstheme="minorEastAsia"/>
                <w:i w:val="0"/>
                <w:iCs w:val="0"/>
                <w:color w:val="000000"/>
                <w:sz w:val="21"/>
                <w:szCs w:val="21"/>
                <w:u w:val="none"/>
                <w:lang w:val="en-US" w:eastAsia="zh-CN" w:bidi="ar"/>
              </w:rPr>
            </w:pPr>
            <w:r>
              <w:rPr>
                <w:rFonts w:hint="eastAsia" w:asciiTheme="minorEastAsia" w:hAnsiTheme="minorEastAsia" w:eastAsiaTheme="minorEastAsia" w:cstheme="minorEastAsia"/>
                <w:color w:val="000000"/>
                <w:szCs w:val="21"/>
                <w:lang w:val="en-US" w:eastAsia="zh-CN" w:bidi="ar"/>
              </w:rPr>
              <w:t xml:space="preserve">1</w:t>
            </w:r>
            <w:r/>
          </w:p>
        </w:tc>
      </w:tr>
    </w:tbl>
    <w:p>
      <w:pPr>
        <w:ind w:firstLine="420"/>
        <w:jc w:val="both"/>
        <w:spacing w:after="0" w:line="460" w:lineRule="exact"/>
        <w:rPr>
          <w:rFonts w:ascii="宋体" w:hAnsi="宋体"/>
          <w:b/>
          <w:bCs/>
          <w:sz w:val="28"/>
          <w:szCs w:val="28"/>
        </w:rPr>
      </w:pPr>
      <w:r>
        <w:rPr>
          <w:rFonts w:ascii="宋体" w:hAnsi="宋体"/>
          <w:b/>
          <w:bCs/>
          <w:sz w:val="28"/>
          <w:szCs w:val="28"/>
        </w:rPr>
      </w:r>
      <w:r/>
    </w:p>
    <w:p>
      <w:pPr>
        <w:ind w:firstLine="482"/>
        <w:jc w:val="left"/>
        <w:spacing w:line="520" w:lineRule="exact"/>
        <w:rPr>
          <w:rFonts w:ascii="宋体" w:hAnsi="宋体" w:cs="宋体"/>
          <w:b/>
          <w:bCs/>
          <w:sz w:val="24"/>
        </w:rPr>
      </w:pPr>
      <w:r>
        <w:rPr>
          <w:rFonts w:hint="eastAsia" w:ascii="宋体" w:hAnsi="宋体" w:cs="宋体"/>
          <w:b/>
          <w:bCs/>
          <w:sz w:val="24"/>
          <w:lang w:val="en-US" w:eastAsia="zh-CN"/>
        </w:rPr>
        <w:t xml:space="preserve">5</w:t>
      </w:r>
      <w:r>
        <w:rPr>
          <w:rFonts w:hint="eastAsia" w:ascii="宋体" w:hAnsi="宋体" w:cs="宋体"/>
          <w:b/>
          <w:bCs/>
          <w:sz w:val="24"/>
        </w:rPr>
        <w:t xml:space="preserve">、售后服务方案</w:t>
      </w:r>
      <w:r/>
    </w:p>
    <w:p>
      <w:pPr>
        <w:pStyle w:val="934"/>
        <w:ind w:firstLine="420"/>
        <w:rPr>
          <w:rFonts w:asciiTheme="minorEastAsia" w:hAnsiTheme="minorEastAsia"/>
        </w:rPr>
      </w:pPr>
      <w:r>
        <w:rPr>
          <w:rFonts w:hint="eastAsia" w:asciiTheme="minorEastAsia" w:hAnsiTheme="minorEastAsia"/>
        </w:rPr>
        <w:t xml:space="preserve">1、售后服务内容</w:t>
      </w:r>
      <w:r/>
    </w:p>
    <w:p>
      <w:pPr>
        <w:pStyle w:val="934"/>
        <w:ind w:firstLine="420"/>
        <w:rPr>
          <w:rFonts w:asciiTheme="minorEastAsia" w:hAnsiTheme="minorEastAsia"/>
        </w:rPr>
      </w:pPr>
      <w:r>
        <w:rPr>
          <w:rFonts w:hint="eastAsia" w:asciiTheme="minorEastAsia" w:hAnsiTheme="minorEastAsia"/>
        </w:rPr>
        <w:t xml:space="preserve">投标人向采购人提供7*24小时故障报修受理服务机构的联系方式；投标人接到报修通知后，维修人员4小时内到达现场，并根据现场情况开展故障排除工作。针对前端设备故障需要返厂维修，能在24小时内提供设备备件。处理线路、软件升级等非前端设备硬件损坏故障，在24小时内恢复运行。</w:t>
      </w:r>
      <w:r/>
    </w:p>
    <w:p>
      <w:pPr>
        <w:pStyle w:val="934"/>
        <w:ind w:firstLine="420"/>
        <w:rPr>
          <w:rFonts w:asciiTheme="minorEastAsia" w:hAnsiTheme="minorEastAsia"/>
        </w:rPr>
      </w:pPr>
      <w:r>
        <w:rPr>
          <w:rFonts w:hint="eastAsia" w:asciiTheme="minorEastAsia" w:hAnsiTheme="minorEastAsia"/>
        </w:rPr>
        <w:t xml:space="preserve">2、售后服务、培训</w:t>
      </w:r>
      <w:r/>
    </w:p>
    <w:p>
      <w:pPr>
        <w:pStyle w:val="934"/>
        <w:ind w:firstLine="420"/>
        <w:rPr>
          <w:rFonts w:asciiTheme="minorEastAsia" w:hAnsiTheme="minorEastAsia"/>
        </w:rPr>
      </w:pPr>
      <w:r>
        <w:rPr>
          <w:rFonts w:hint="eastAsia" w:asciiTheme="minorEastAsia" w:hAnsiTheme="minorEastAsia"/>
        </w:rPr>
        <w:t xml:space="preserve">投标人应编制售后服务方案，方案中体现完善的售后服务体系、售后服务保证措施等。 应根据采购人的要求对设备使用提供技术培训和指导。投标人应培训方案包含：培训计划、培训对象、培训人员等。培训应对针对采购人的管理需要对培训对象分层次进行，各层次不少于2次。</w:t>
      </w:r>
      <w:r/>
    </w:p>
    <w:p>
      <w:pPr>
        <w:pStyle w:val="934"/>
        <w:ind w:firstLine="420"/>
        <w:rPr>
          <w:rFonts w:asciiTheme="minorEastAsia" w:hAnsiTheme="minorEastAsia"/>
          <w:highlight w:val="none"/>
        </w:rPr>
      </w:pPr>
      <w:r>
        <w:rPr>
          <w:rFonts w:hint="eastAsia" w:asciiTheme="minorEastAsia" w:hAnsiTheme="minorEastAsia"/>
          <w:highlight w:val="none"/>
        </w:rPr>
        <w:t xml:space="preserve">3、平台系统维护</w:t>
      </w:r>
      <w:r/>
    </w:p>
    <w:p>
      <w:pPr>
        <w:pStyle w:val="934"/>
        <w:ind w:firstLine="420"/>
        <w:rPr>
          <w:rFonts w:asciiTheme="minorEastAsia" w:hAnsiTheme="minorEastAsia"/>
          <w:highlight w:val="none"/>
        </w:rPr>
      </w:pPr>
      <w:r>
        <w:rPr>
          <w:rFonts w:hint="eastAsia" w:asciiTheme="minorEastAsia" w:hAnsiTheme="minorEastAsia"/>
          <w:highlight w:val="none"/>
        </w:rPr>
        <w:t xml:space="preserve">（1）设备维护：</w:t>
      </w:r>
      <w:r/>
    </w:p>
    <w:p>
      <w:pPr>
        <w:pStyle w:val="934"/>
        <w:ind w:firstLine="420"/>
        <w:rPr>
          <w:rFonts w:asciiTheme="minorEastAsia" w:hAnsiTheme="minorEastAsia"/>
          <w:highlight w:val="none"/>
        </w:rPr>
      </w:pPr>
      <w:r>
        <w:rPr>
          <w:rFonts w:hint="eastAsia" w:asciiTheme="minorEastAsia" w:hAnsiTheme="minorEastAsia"/>
          <w:highlight w:val="none"/>
        </w:rPr>
        <w:t xml:space="preserve">定期巡检：对监控设备进行定期巡检，确保设备正常运行。</w:t>
      </w:r>
      <w:r/>
    </w:p>
    <w:p>
      <w:pPr>
        <w:pStyle w:val="934"/>
        <w:ind w:firstLine="420"/>
        <w:rPr>
          <w:rFonts w:asciiTheme="minorEastAsia" w:hAnsiTheme="minorEastAsia"/>
          <w:highlight w:val="none"/>
        </w:rPr>
      </w:pPr>
      <w:r>
        <w:rPr>
          <w:rFonts w:hint="eastAsia" w:asciiTheme="minorEastAsia" w:hAnsiTheme="minorEastAsia"/>
          <w:highlight w:val="none"/>
        </w:rPr>
        <w:t xml:space="preserve">故障处理：及时排查和处理出现的故障，确保故障设备尽快恢复正常。</w:t>
      </w:r>
      <w:r/>
    </w:p>
    <w:p>
      <w:pPr>
        <w:pStyle w:val="934"/>
        <w:ind w:firstLine="420"/>
        <w:rPr>
          <w:rFonts w:asciiTheme="minorEastAsia" w:hAnsiTheme="minorEastAsia"/>
          <w:highlight w:val="none"/>
        </w:rPr>
      </w:pPr>
      <w:r>
        <w:rPr>
          <w:rFonts w:hint="eastAsia" w:asciiTheme="minorEastAsia" w:hAnsiTheme="minorEastAsia"/>
          <w:highlight w:val="none"/>
        </w:rPr>
        <w:t xml:space="preserve">定期更新：根据设备使用情况和需求，定期更新软件和固件，确保系统安全性。</w:t>
      </w:r>
      <w:r/>
    </w:p>
    <w:p>
      <w:pPr>
        <w:pStyle w:val="934"/>
        <w:ind w:firstLine="420"/>
        <w:rPr>
          <w:rFonts w:asciiTheme="minorEastAsia" w:hAnsiTheme="minorEastAsia"/>
          <w:highlight w:val="none"/>
        </w:rPr>
      </w:pPr>
      <w:r>
        <w:rPr>
          <w:rFonts w:hint="eastAsia" w:asciiTheme="minorEastAsia" w:hAnsiTheme="minorEastAsia"/>
          <w:highlight w:val="none"/>
        </w:rPr>
        <w:t xml:space="preserve">数据备份：定期对监控数据进行备份，以防数据丢失或损坏。</w:t>
      </w:r>
      <w:r/>
    </w:p>
    <w:p>
      <w:pPr>
        <w:pStyle w:val="934"/>
        <w:ind w:firstLine="420"/>
        <w:rPr>
          <w:rFonts w:asciiTheme="minorEastAsia" w:hAnsiTheme="minorEastAsia"/>
          <w:highlight w:val="none"/>
        </w:rPr>
      </w:pPr>
      <w:r>
        <w:rPr>
          <w:rFonts w:hint="eastAsia" w:asciiTheme="minorEastAsia" w:hAnsiTheme="minorEastAsia"/>
          <w:highlight w:val="none"/>
        </w:rPr>
        <w:t xml:space="preserve">（2）系统更新与补丁管理：</w:t>
      </w:r>
      <w:r/>
    </w:p>
    <w:p>
      <w:pPr>
        <w:pStyle w:val="934"/>
        <w:ind w:firstLine="420"/>
        <w:rPr>
          <w:rFonts w:asciiTheme="minorEastAsia" w:hAnsiTheme="minorEastAsia"/>
          <w:highlight w:val="none"/>
        </w:rPr>
      </w:pPr>
      <w:r>
        <w:rPr>
          <w:rFonts w:hint="eastAsia" w:asciiTheme="minorEastAsia" w:hAnsiTheme="minorEastAsia"/>
          <w:highlight w:val="none"/>
        </w:rPr>
        <w:t xml:space="preserve">系统补丁升级：因应用系统软件改版或功能扩充等原因进行系统升级。</w:t>
      </w:r>
      <w:r/>
    </w:p>
    <w:p>
      <w:pPr>
        <w:pStyle w:val="934"/>
        <w:ind w:firstLine="420"/>
        <w:rPr>
          <w:rFonts w:asciiTheme="minorEastAsia" w:hAnsiTheme="minorEastAsia"/>
          <w:highlight w:val="none"/>
        </w:rPr>
      </w:pPr>
      <w:r>
        <w:rPr>
          <w:rFonts w:hint="eastAsia" w:asciiTheme="minorEastAsia" w:hAnsiTheme="minorEastAsia"/>
          <w:highlight w:val="none"/>
        </w:rPr>
        <w:t xml:space="preserve">巡检服务：提供系统运行性能诊断及设备检修保养服务，减少故障发生率及延长使用周期。</w:t>
      </w:r>
      <w:r/>
    </w:p>
    <w:p>
      <w:pPr>
        <w:pStyle w:val="934"/>
        <w:ind w:firstLine="420"/>
        <w:rPr>
          <w:rFonts w:asciiTheme="minorEastAsia" w:hAnsiTheme="minorEastAsia"/>
          <w:highlight w:val="none"/>
        </w:rPr>
      </w:pPr>
      <w:r>
        <w:rPr>
          <w:rFonts w:hint="eastAsia" w:asciiTheme="minorEastAsia" w:hAnsiTheme="minorEastAsia"/>
          <w:highlight w:val="none"/>
        </w:rPr>
        <w:t xml:space="preserve">（3）安全保障：</w:t>
      </w:r>
      <w:r/>
    </w:p>
    <w:p>
      <w:pPr>
        <w:pStyle w:val="934"/>
        <w:ind w:firstLine="420"/>
        <w:rPr>
          <w:rFonts w:asciiTheme="minorEastAsia" w:hAnsiTheme="minorEastAsia"/>
          <w:highlight w:val="none"/>
        </w:rPr>
      </w:pPr>
      <w:r>
        <w:rPr>
          <w:rFonts w:hint="eastAsia" w:asciiTheme="minorEastAsia" w:hAnsiTheme="minorEastAsia"/>
          <w:highlight w:val="none"/>
        </w:rPr>
        <w:t xml:space="preserve">系统安全管理：进行系统安全管理、数据管理，根据问题性质决定解决问题的方法并跟踪其执行。</w:t>
      </w:r>
      <w:r/>
    </w:p>
    <w:p>
      <w:pPr>
        <w:pStyle w:val="934"/>
        <w:ind w:firstLine="420"/>
        <w:rPr>
          <w:rFonts w:asciiTheme="minorEastAsia" w:hAnsiTheme="minorEastAsia"/>
          <w:highlight w:val="none"/>
        </w:rPr>
      </w:pPr>
      <w:r>
        <w:rPr>
          <w:rFonts w:hint="eastAsia" w:asciiTheme="minorEastAsia" w:hAnsiTheme="minorEastAsia"/>
          <w:highlight w:val="none"/>
        </w:rPr>
        <w:t xml:space="preserve">定期诊断测试：对系统进行诊断测试，查看错误信息、性能调优、功能完善等，并提供巡检报告。</w:t>
      </w:r>
      <w:r/>
    </w:p>
    <w:p>
      <w:pPr>
        <w:pStyle w:val="934"/>
        <w:ind w:firstLine="420"/>
        <w:rPr>
          <w:rFonts w:asciiTheme="minorEastAsia" w:hAnsiTheme="minorEastAsia"/>
          <w:highlight w:val="none"/>
        </w:rPr>
      </w:pPr>
      <w:r>
        <w:rPr>
          <w:rFonts w:hint="eastAsia" w:asciiTheme="minorEastAsia" w:hAnsiTheme="minorEastAsia"/>
          <w:highlight w:val="none"/>
        </w:rPr>
        <w:t xml:space="preserve"> （4）数据管理：</w:t>
      </w:r>
      <w:r/>
    </w:p>
    <w:p>
      <w:pPr>
        <w:pStyle w:val="934"/>
        <w:ind w:firstLine="420"/>
        <w:rPr>
          <w:rFonts w:asciiTheme="minorEastAsia" w:hAnsiTheme="minorEastAsia"/>
          <w:highlight w:val="none"/>
        </w:rPr>
      </w:pPr>
      <w:r>
        <w:rPr>
          <w:rFonts w:hint="eastAsia" w:asciiTheme="minorEastAsia" w:hAnsiTheme="minorEastAsia"/>
          <w:highlight w:val="none"/>
        </w:rPr>
        <w:t xml:space="preserve">历史数据存储：平台应能够长期保存历史监控数据，供运维人员随时查询和分析。</w:t>
      </w:r>
      <w:r/>
    </w:p>
    <w:p>
      <w:pPr>
        <w:pStyle w:val="934"/>
        <w:ind w:firstLine="420"/>
        <w:rPr>
          <w:rFonts w:asciiTheme="minorEastAsia" w:hAnsiTheme="minorEastAsia"/>
          <w:highlight w:val="none"/>
        </w:rPr>
      </w:pPr>
      <w:r>
        <w:rPr>
          <w:rFonts w:hint="eastAsia" w:asciiTheme="minorEastAsia" w:hAnsiTheme="minorEastAsia"/>
          <w:highlight w:val="none"/>
        </w:rPr>
        <w:t xml:space="preserve">报表生成：支持自动生成各类监控报表，如日报、周报、月报等，帮助运维团队全面了解系统的运行状况。</w:t>
      </w:r>
      <w:r/>
    </w:p>
    <w:p>
      <w:pPr>
        <w:pStyle w:val="934"/>
        <w:ind w:firstLine="420"/>
        <w:rPr>
          <w:rFonts w:asciiTheme="minorEastAsia" w:hAnsiTheme="minorEastAsia"/>
          <w:highlight w:val="none"/>
        </w:rPr>
      </w:pPr>
      <w:r>
        <w:rPr>
          <w:rFonts w:hint="eastAsia" w:asciiTheme="minorEastAsia" w:hAnsiTheme="minorEastAsia"/>
          <w:highlight w:val="none"/>
        </w:rPr>
        <w:t xml:space="preserve">（5）服务人员配备：</w:t>
      </w:r>
      <w:r/>
    </w:p>
    <w:p>
      <w:pPr>
        <w:pStyle w:val="934"/>
        <w:ind w:firstLine="420"/>
        <w:rPr>
          <w:rFonts w:asciiTheme="minorEastAsia" w:hAnsiTheme="minorEastAsia"/>
          <w:highlight w:val="none"/>
        </w:rPr>
      </w:pPr>
      <w:r>
        <w:rPr>
          <w:rFonts w:hint="eastAsia" w:asciiTheme="minorEastAsia" w:hAnsiTheme="minorEastAsia"/>
          <w:highlight w:val="none"/>
        </w:rPr>
        <w:t xml:space="preserve">设立售后服务组织架构，组员包含但不限于售后服务经理、售后服务人员等。相关人员应具有专业知识和技能。并结合建设点位的覆盖范围，配置维修小组。明确各类人员的工作职责及范围。保障维修小组能够在规定的时间内完成故障点位的修复。投入售后服务经理1名，投入售后服务人员5人（不含售后服务经理），派驻驻场维护人员1人，专职在仪征市公安局为本项目提供服务。</w:t>
      </w:r>
      <w:r/>
    </w:p>
    <w:p>
      <w:pPr>
        <w:ind w:firstLine="482"/>
        <w:jc w:val="left"/>
        <w:spacing w:line="520" w:lineRule="exact"/>
        <w:rPr>
          <w:rFonts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、系统建设实施</w:t>
      </w:r>
      <w:r/>
    </w:p>
    <w:p>
      <w:pPr>
        <w:pStyle w:val="934"/>
        <w:ind w:firstLine="420"/>
        <w:rPr>
          <w:rFonts w:asciiTheme="minorEastAsia" w:hAnsiTheme="minorEastAsia"/>
        </w:rPr>
      </w:pPr>
      <w:r>
        <w:rPr>
          <w:rFonts w:hint="eastAsia" w:asciiTheme="minorEastAsia" w:hAnsiTheme="minorEastAsia"/>
        </w:rPr>
        <w:t xml:space="preserve">1、建设原则</w:t>
      </w:r>
      <w:r/>
    </w:p>
    <w:p>
      <w:pPr>
        <w:pStyle w:val="934"/>
        <w:ind w:firstLine="420"/>
        <w:rPr>
          <w:rFonts w:asciiTheme="minorEastAsia" w:hAnsiTheme="minorEastAsia"/>
        </w:rPr>
      </w:pPr>
      <w:r>
        <w:rPr>
          <w:rFonts w:hint="eastAsia" w:asciiTheme="minorEastAsia" w:hAnsiTheme="minorEastAsia"/>
        </w:rPr>
        <w:t xml:space="preserve">本项目建设时应遵循技术先进、功能齐全、性能稳定、节约成本的原则。综合考虑后期维护及操作等因素，并为今后的扩建、改造等留有扩充的余地。建设方案应完整、全面，具有科学性、合理性及可操作性。</w:t>
      </w:r>
      <w:r/>
    </w:p>
    <w:p>
      <w:pPr>
        <w:pStyle w:val="934"/>
        <w:ind w:firstLine="420"/>
        <w:rPr>
          <w:rFonts w:asciiTheme="minorEastAsia" w:hAnsiTheme="minorEastAsia"/>
        </w:rPr>
      </w:pPr>
      <w:r>
        <w:rPr>
          <w:rFonts w:hint="eastAsia" w:asciiTheme="minorEastAsia" w:hAnsiTheme="minorEastAsia"/>
        </w:rPr>
        <w:t xml:space="preserve">2、实施要求</w:t>
      </w:r>
      <w:r/>
    </w:p>
    <w:p>
      <w:pPr>
        <w:pStyle w:val="934"/>
        <w:ind w:firstLine="420"/>
        <w:rPr>
          <w:rFonts w:asciiTheme="minorEastAsia" w:hAnsiTheme="minorEastAsia"/>
        </w:rPr>
      </w:pPr>
      <w:r>
        <w:rPr>
          <w:rFonts w:hint="eastAsia" w:asciiTheme="minorEastAsia" w:hAnsiTheme="minorEastAsia"/>
        </w:rPr>
        <w:t xml:space="preserve">(1)与仪征市公安视频图像信息应用平台系统无缝对接​</w:t>
      </w:r>
      <w:r/>
    </w:p>
    <w:p>
      <w:pPr>
        <w:pStyle w:val="934"/>
        <w:ind w:firstLine="420"/>
        <w:rPr>
          <w:rFonts w:asciiTheme="minorEastAsia" w:hAnsiTheme="minorEastAsia"/>
        </w:rPr>
      </w:pPr>
      <w:r>
        <w:rPr>
          <w:rFonts w:hint="eastAsia" w:asciiTheme="minorEastAsia" w:hAnsiTheme="minorEastAsia"/>
        </w:rPr>
        <w:t xml:space="preserve">资源统一管理：建立统一的资源管理数据库，将本项目涉及的所有前端相机、后端服务器等设备信息以及视频图像数据、人员信息、车辆信息等业务数据进行集中管理。制定统一的数据标准与接口规范，确保与仪征市公安视频图像信息应用平台系统的数据格式一致，实现数据的无缝对接与共享。​</w:t>
      </w:r>
      <w:r/>
    </w:p>
    <w:p>
      <w:pPr>
        <w:pStyle w:val="934"/>
        <w:ind w:firstLine="420"/>
        <w:rPr>
          <w:rFonts w:asciiTheme="minorEastAsia" w:hAnsiTheme="minorEastAsia"/>
        </w:rPr>
      </w:pPr>
      <w:r>
        <w:rPr>
          <w:rFonts w:hint="eastAsia" w:asciiTheme="minorEastAsia" w:hAnsiTheme="minorEastAsia"/>
        </w:rPr>
        <w:t xml:space="preserve">应用整合共享：对本项目开发的各类应用功能，如视频监控应用、智能分析应用等，进行整合封装，通过统一的应用接口提供给仪征市公安视频图像信息应用平台系统调用。在平台对接过程中，进行充分的测试与联调，确保应用功能在对接后能够正常运行，实现应用的整合共享。​</w:t>
      </w:r>
      <w:r/>
    </w:p>
    <w:p>
      <w:pPr>
        <w:pStyle w:val="934"/>
        <w:ind w:firstLine="420"/>
        <w:rPr>
          <w:rFonts w:asciiTheme="minorEastAsia" w:hAnsiTheme="minorEastAsia"/>
        </w:rPr>
      </w:pPr>
      <w:r>
        <w:rPr>
          <w:rFonts w:hint="eastAsia" w:asciiTheme="minorEastAsia" w:hAnsiTheme="minorEastAsia"/>
        </w:rPr>
        <w:t xml:space="preserve">(2)总体管理方案​</w:t>
      </w:r>
      <w:r/>
    </w:p>
    <w:p>
      <w:pPr>
        <w:pStyle w:val="934"/>
        <w:ind w:firstLine="420"/>
        <w:rPr>
          <w:rFonts w:asciiTheme="minorEastAsia" w:hAnsiTheme="minorEastAsia"/>
        </w:rPr>
      </w:pPr>
      <w:r>
        <w:rPr>
          <w:rFonts w:hint="eastAsia" w:asciiTheme="minorEastAsia" w:hAnsiTheme="minorEastAsia"/>
        </w:rPr>
        <w:t xml:space="preserve">设备安装调试：制定详细的设备安装调试计划，明确各设备的安装位置、安装步骤与调试方法。安排专业的技术人员进行设备安装，在安装过程中严格按照设备安装手册与相关规范进行操作。设备安装完成后，及时进行调试，确保设备各项功能正常运行。​</w:t>
      </w:r>
      <w:r/>
    </w:p>
    <w:p>
      <w:pPr>
        <w:pStyle w:val="934"/>
        <w:ind w:firstLine="420"/>
        <w:rPr>
          <w:rFonts w:asciiTheme="minorEastAsia" w:hAnsiTheme="minorEastAsia"/>
        </w:rPr>
      </w:pPr>
      <w:r>
        <w:rPr>
          <w:rFonts w:hint="eastAsia" w:asciiTheme="minorEastAsia" w:hAnsiTheme="minorEastAsia"/>
        </w:rPr>
        <w:t xml:space="preserve">外场立杆施工：在立杆施工前，进行详细的现场勘查，确定立杆的位置、高度与基础形式。制定立杆施工方案，包括施工流程、安全保障措施等。选用专业的施工队伍进行立杆施工，在施工过程中确保立杆的垂直度、稳定性符合要求，同时做好立杆的防锈、防腐处理。​</w:t>
      </w:r>
      <w:r/>
    </w:p>
    <w:p>
      <w:pPr>
        <w:pStyle w:val="934"/>
        <w:ind w:firstLine="420"/>
        <w:rPr>
          <w:rFonts w:asciiTheme="minorEastAsia" w:hAnsiTheme="minorEastAsia"/>
        </w:rPr>
      </w:pPr>
      <w:r>
        <w:rPr>
          <w:rFonts w:hint="eastAsia" w:asciiTheme="minorEastAsia" w:hAnsiTheme="minorEastAsia"/>
        </w:rPr>
        <w:t xml:space="preserve">总体联调：在所有设备安装调试完成后，进行系统的总体联调。制定总体联调方案，明确联调的范围、步骤与测试方法。组织相关技术人员进行联调工作，对系统的各项功能进行全面测试，包括视频图像传输、智能分析、平台对接等功能，及时发现并解决联调过程中出现的问题。​</w:t>
      </w:r>
      <w:r/>
    </w:p>
    <w:p>
      <w:pPr>
        <w:pStyle w:val="934"/>
        <w:ind w:firstLine="420"/>
        <w:rPr>
          <w:rFonts w:asciiTheme="minorEastAsia" w:hAnsiTheme="minorEastAsia"/>
        </w:rPr>
      </w:pPr>
      <w:r>
        <w:rPr>
          <w:rFonts w:hint="eastAsia" w:asciiTheme="minorEastAsia" w:hAnsiTheme="minorEastAsia"/>
        </w:rPr>
        <w:t xml:space="preserve">“一机一档” 工作：安排专人负责收集整理本项目所有设备的相关信息，包括设备名称、型号、生产厂家、采购时间、安装位置、设备参数等。按照省厅、市公安局 “一机一档” 建设要求，将设备信息录入到指定的系统中，并确保信息的准确性与完整性。同时，对立杆点位信息、线路走向信息等进行整理录入，建立完善的项目档案。</w:t>
      </w:r>
      <w:r/>
    </w:p>
    <w:p>
      <w:pPr>
        <w:pStyle w:val="934"/>
        <w:ind w:firstLine="420"/>
        <w:rPr>
          <w:rFonts w:asciiTheme="minorEastAsia" w:hAnsiTheme="minorEastAsia"/>
        </w:rPr>
      </w:pPr>
      <w:r>
        <w:rPr>
          <w:rFonts w:hint="eastAsia" w:asciiTheme="minorEastAsia" w:hAnsiTheme="minorEastAsia"/>
        </w:rPr>
        <w:t xml:space="preserve">(3)接口对接方案</w:t>
      </w:r>
      <w:r/>
    </w:p>
    <w:p>
      <w:pPr>
        <w:pStyle w:val="934"/>
        <w:ind w:firstLine="420"/>
        <w:rPr>
          <w:rFonts w:asciiTheme="minorEastAsia" w:hAnsiTheme="minorEastAsia"/>
        </w:rPr>
      </w:pPr>
      <w:r>
        <w:rPr>
          <w:rFonts w:hint="eastAsia" w:asciiTheme="minorEastAsia" w:hAnsiTheme="minorEastAsia"/>
        </w:rPr>
        <w:t xml:space="preserve">国标、SDK 对接：本期项目所有前端相机、后端服务器等设备，按照国标 GB/T28181 标准以及现有平台要求的 SDK 接口规范进行开发对接。对于新开发的接口，组织专业的软件开发团队进行开发，确保接口的稳定性与兼容性。在接口开发完成后，进行全面的测试，包括功能测试、性能测试、兼容性测试等，确保接口能够与仪征市公安视频图像信息应用平台、人脸大数据平台、车辆大数据平台等现有平台实现无缝对接。</w:t>
      </w:r>
      <w:r/>
    </w:p>
    <w:p>
      <w:pPr>
        <w:pStyle w:val="934"/>
        <w:ind w:firstLine="420"/>
        <w:rPr>
          <w:rFonts w:asciiTheme="minorEastAsia" w:hAnsiTheme="minorEastAsia"/>
        </w:rPr>
      </w:pPr>
      <w:r>
        <w:rPr>
          <w:rFonts w:hint="eastAsia" w:asciiTheme="minorEastAsia" w:hAnsiTheme="minorEastAsia"/>
        </w:rPr>
        <w:t xml:space="preserve">远期业务系统集成对接：提前对 PGIS、PKI/PMI、机动车辆信息库、三台合一接处警系统、警务综合管理系统等各业务系统的接口规范与数据格式进行调研分析。制定远期对接方案，明确对接的步骤、时间节点与技术路线。在项目建设过程中，预留相应的接口与数据通道，为后期实现与各业务系统的集成对接做好准备。​</w:t>
      </w:r>
      <w:r/>
    </w:p>
    <w:p>
      <w:pPr>
        <w:pStyle w:val="934"/>
        <w:ind w:firstLine="420"/>
        <w:rPr>
          <w:rFonts w:asciiTheme="minorEastAsia" w:hAnsiTheme="minorEastAsia"/>
        </w:rPr>
      </w:pPr>
      <w:r>
        <w:rPr>
          <w:rFonts w:hint="eastAsia" w:asciiTheme="minorEastAsia" w:hAnsiTheme="minorEastAsia"/>
        </w:rPr>
        <w:t xml:space="preserve">(4)进度管理方案</w:t>
      </w:r>
      <w:r/>
    </w:p>
    <w:p>
      <w:pPr>
        <w:pStyle w:val="934"/>
        <w:ind w:firstLine="420"/>
        <w:rPr>
          <w:rFonts w:asciiTheme="minorEastAsia" w:hAnsiTheme="minorEastAsia"/>
        </w:rPr>
      </w:pPr>
      <w:r>
        <w:rPr>
          <w:rFonts w:hint="eastAsia" w:asciiTheme="minorEastAsia" w:hAnsiTheme="minorEastAsia"/>
        </w:rPr>
        <w:t xml:space="preserve">供货方案：与设备供应商建立良好的合作关系，签订详细的供货合同，明确设备的供货时间、型号、数量等。制定设备采购计划，按照项目建设进度要求合理安排设备采购时间。建立设备到货验收机制，确保设备到货的及时性与质量符合要求。</w:t>
      </w:r>
      <w:r/>
    </w:p>
    <w:p>
      <w:pPr>
        <w:pStyle w:val="934"/>
        <w:ind w:firstLine="420"/>
        <w:rPr>
          <w:rFonts w:asciiTheme="minorEastAsia" w:hAnsiTheme="minorEastAsia"/>
        </w:rPr>
      </w:pPr>
      <w:r>
        <w:rPr>
          <w:rFonts w:hint="eastAsia" w:asciiTheme="minorEastAsia" w:hAnsiTheme="minorEastAsia"/>
        </w:rPr>
        <w:t xml:space="preserve">进度控制方案：制定详细的项目进度计划，对项目进度进行可视化管理。明确项目各个阶段的任务、责任人与时间节点。建立进度跟踪机制，定期对项目进度进行检查与评估，及时发现进度偏差并采取相应的纠正措施。</w:t>
      </w:r>
      <w:r/>
    </w:p>
    <w:p>
      <w:pPr>
        <w:pStyle w:val="934"/>
        <w:ind w:firstLine="420"/>
        <w:rPr>
          <w:rFonts w:asciiTheme="minorEastAsia" w:hAnsiTheme="minorEastAsia"/>
        </w:rPr>
      </w:pPr>
      <w:r>
        <w:rPr>
          <w:rFonts w:hint="eastAsia" w:asciiTheme="minorEastAsia" w:hAnsiTheme="minorEastAsia"/>
        </w:rPr>
        <w:t xml:space="preserve">进度跟踪方案及工作措施：安排专人负责项目进度跟踪工作，每周对项目进度进行检查，收集项目进展情况信息。对项目进度进行分析，判断是否存在进度滞后的风险。如果发现进度滞后，及时组织相关人员进行原因分析，并采取增加人员、调整施工计划等措施加快项目进度，确保项目在规定期限内完成。</w:t>
      </w:r>
      <w:r/>
    </w:p>
    <w:p>
      <w:pPr>
        <w:pStyle w:val="934"/>
        <w:ind w:firstLine="420"/>
        <w:rPr>
          <w:rFonts w:asciiTheme="minorEastAsia" w:hAnsiTheme="minorEastAsia"/>
        </w:rPr>
      </w:pPr>
      <w:r>
        <w:rPr>
          <w:rFonts w:hint="eastAsia" w:asciiTheme="minorEastAsia" w:hAnsiTheme="minorEastAsia"/>
        </w:rPr>
        <w:t xml:space="preserve">(5)安全保障方案</w:t>
      </w:r>
      <w:r/>
    </w:p>
    <w:p>
      <w:pPr>
        <w:pStyle w:val="934"/>
        <w:ind w:firstLine="420"/>
        <w:rPr>
          <w:rFonts w:asciiTheme="minorEastAsia" w:hAnsiTheme="minorEastAsia"/>
        </w:rPr>
      </w:pPr>
      <w:r>
        <w:rPr>
          <w:rFonts w:hint="eastAsia" w:asciiTheme="minorEastAsia" w:hAnsiTheme="minorEastAsia"/>
        </w:rPr>
        <w:t xml:space="preserve">项目现场管理：制定项目现场管理制度，明确中标人工作人员在项目现场的行为规范。进入项目现场的车辆、设备必须按照指定的地点停放，不得随意停放妨碍施工和阻碍交通。项目结束后，中标人负责及时清理现场，恢复现场原状。如有损坏现场设施、地面等情况，必须按照相关标准进行修复。​</w:t>
      </w:r>
      <w:r/>
    </w:p>
    <w:p>
      <w:pPr>
        <w:pStyle w:val="934"/>
        <w:ind w:firstLine="420"/>
        <w:rPr>
          <w:rFonts w:asciiTheme="minorEastAsia" w:hAnsiTheme="minorEastAsia"/>
        </w:rPr>
      </w:pPr>
      <w:r>
        <w:rPr>
          <w:rFonts w:hint="eastAsia" w:asciiTheme="minorEastAsia" w:hAnsiTheme="minorEastAsia"/>
        </w:rPr>
        <w:t xml:space="preserve">安全事故处理：中标人在项目实施期间，必须建立完善的安全保障体系，制定安全事故应急预案。加强对工作人员的安全教育培训，提高安全意识。如果发生安全事故、人身伤害和其它财产安全事故，中标人必须立即启动应急预案，进行事故处理，并承担全部责任。同时，及时向相关部门报告事故情况，配合相关部门进行事故调查。</w:t>
      </w:r>
      <w:r/>
    </w:p>
    <w:p>
      <w:pPr>
        <w:ind w:firstLine="482"/>
        <w:jc w:val="left"/>
        <w:spacing w:line="520" w:lineRule="exact"/>
        <w:rPr>
          <w:rFonts w:ascii="宋体" w:hAnsi="宋体" w:cs="宋体"/>
          <w:b/>
          <w:bCs/>
          <w:sz w:val="24"/>
        </w:rPr>
      </w:pPr>
      <w:r>
        <w:rPr>
          <w:rFonts w:hint="eastAsia" w:ascii="宋体" w:hAnsi="宋体" w:cs="宋体"/>
          <w:b/>
          <w:bCs/>
          <w:sz w:val="24"/>
          <w:lang w:val="en-US" w:eastAsia="zh-CN"/>
        </w:rPr>
        <w:t xml:space="preserve">7</w:t>
      </w:r>
      <w:r>
        <w:rPr>
          <w:rFonts w:hint="eastAsia" w:ascii="宋体" w:hAnsi="宋体" w:cs="宋体"/>
          <w:b/>
          <w:bCs/>
          <w:sz w:val="24"/>
        </w:rPr>
        <w:t xml:space="preserve">、验收标准</w:t>
      </w:r>
      <w:r/>
    </w:p>
    <w:p>
      <w:pPr>
        <w:pStyle w:val="934"/>
        <w:ind w:firstLine="420"/>
        <w:rPr>
          <w:rFonts w:asciiTheme="minorEastAsia" w:hAnsiTheme="minorEastAsia"/>
        </w:rPr>
      </w:pPr>
      <w:r>
        <w:rPr>
          <w:rFonts w:hint="eastAsia" w:asciiTheme="minorEastAsia" w:hAnsiTheme="minorEastAsia"/>
        </w:rPr>
        <w:t xml:space="preserve">江苏省公安厅《关于加强全省社会治安监控系统联网调度和资源整合建设工作的规划指导意见》</w:t>
      </w:r>
      <w:r/>
    </w:p>
    <w:p>
      <w:pPr>
        <w:pStyle w:val="934"/>
        <w:ind w:firstLine="420"/>
        <w:rPr>
          <w:rFonts w:asciiTheme="minorEastAsia" w:hAnsiTheme="minorEastAsia"/>
        </w:rPr>
      </w:pPr>
      <w:r>
        <w:rPr>
          <w:rFonts w:hint="eastAsia" w:asciiTheme="minorEastAsia" w:hAnsiTheme="minorEastAsia"/>
        </w:rPr>
        <w:t xml:space="preserve">江苏省公安厅《社会治安监控系统布建指导意见》</w:t>
      </w:r>
      <w:r/>
    </w:p>
    <w:p>
      <w:pPr>
        <w:pStyle w:val="934"/>
        <w:ind w:firstLine="420"/>
        <w:rPr>
          <w:rFonts w:asciiTheme="minorEastAsia" w:hAnsiTheme="minorEastAsia"/>
        </w:rPr>
      </w:pPr>
      <w:r>
        <w:rPr>
          <w:rFonts w:hint="eastAsia" w:asciiTheme="minorEastAsia" w:hAnsiTheme="minorEastAsia"/>
        </w:rPr>
        <w:t xml:space="preserve">江苏省公安厅《全省公安机关道路监控网“3.20”工程建设规划及技术指导意见》（苏公厅[2010]289号）</w:t>
      </w:r>
      <w:r/>
    </w:p>
    <w:p>
      <w:pPr>
        <w:pStyle w:val="934"/>
        <w:ind w:firstLine="420"/>
        <w:rPr>
          <w:rFonts w:asciiTheme="minorEastAsia" w:hAnsiTheme="minorEastAsia"/>
        </w:rPr>
      </w:pPr>
      <w:r>
        <w:rPr>
          <w:rFonts w:hint="eastAsia" w:asciiTheme="minorEastAsia" w:hAnsiTheme="minorEastAsia"/>
        </w:rPr>
        <w:t xml:space="preserve">江苏省公安厅《全省“3.20工程”道路监控系统数据和图像采集标准及传输规范（试行）》（苏公厅[2010]526号）</w:t>
      </w:r>
      <w:r/>
    </w:p>
    <w:p>
      <w:pPr>
        <w:pStyle w:val="934"/>
        <w:ind w:firstLine="420"/>
        <w:rPr>
          <w:rFonts w:asciiTheme="minorEastAsia" w:hAnsiTheme="minorEastAsia"/>
        </w:rPr>
      </w:pPr>
      <w:r>
        <w:rPr>
          <w:rFonts w:hint="eastAsia" w:asciiTheme="minorEastAsia" w:hAnsiTheme="minorEastAsia"/>
        </w:rPr>
        <w:t xml:space="preserve">江苏省公安厅《全省“3.20工程”基础网络建设规范指导意见（试行）》（苏公厅[2010]550号）</w:t>
      </w:r>
      <w:r/>
    </w:p>
    <w:p>
      <w:pPr>
        <w:pStyle w:val="934"/>
        <w:ind w:firstLine="420"/>
        <w:rPr>
          <w:rFonts w:asciiTheme="minorEastAsia" w:hAnsiTheme="minorEastAsia"/>
        </w:rPr>
      </w:pPr>
      <w:r>
        <w:rPr>
          <w:rFonts w:hint="eastAsia" w:asciiTheme="minorEastAsia" w:hAnsiTheme="minorEastAsia"/>
        </w:rPr>
        <w:t xml:space="preserve">江苏省公安厅《江苏省道路监控网建设“3.20”工程总体方案》</w:t>
      </w:r>
      <w:r/>
    </w:p>
    <w:p>
      <w:pPr>
        <w:pStyle w:val="934"/>
        <w:ind w:firstLine="420"/>
        <w:rPr>
          <w:rFonts w:asciiTheme="minorEastAsia" w:hAnsiTheme="minorEastAsia"/>
        </w:rPr>
      </w:pPr>
      <w:r>
        <w:rPr>
          <w:rFonts w:hint="eastAsia" w:asciiTheme="minorEastAsia" w:hAnsiTheme="minorEastAsia"/>
        </w:rPr>
        <w:t xml:space="preserve">《江苏省公安厅道路监控系统前端设备招标文件》（SJC2010 070266）</w:t>
      </w:r>
      <w:r/>
    </w:p>
    <w:p>
      <w:pPr>
        <w:pStyle w:val="934"/>
        <w:ind w:firstLine="420"/>
        <w:rPr>
          <w:rFonts w:asciiTheme="minorEastAsia" w:hAnsiTheme="minorEastAsia"/>
        </w:rPr>
      </w:pPr>
      <w:r>
        <w:rPr>
          <w:rFonts w:hint="eastAsia" w:asciiTheme="minorEastAsia" w:hAnsiTheme="minorEastAsia"/>
        </w:rPr>
        <w:t xml:space="preserve">《公路车辆智能监测记录系统通用技术条件》（GA/T497）</w:t>
      </w:r>
      <w:r/>
    </w:p>
    <w:p>
      <w:pPr>
        <w:pStyle w:val="934"/>
        <w:ind w:firstLine="420"/>
        <w:rPr>
          <w:rFonts w:asciiTheme="minorEastAsia" w:hAnsiTheme="minorEastAsia"/>
        </w:rPr>
      </w:pPr>
      <w:r>
        <w:rPr>
          <w:rFonts w:hint="eastAsia" w:asciiTheme="minorEastAsia" w:hAnsiTheme="minorEastAsia"/>
        </w:rPr>
        <w:t xml:space="preserve">《闯红灯自动记录系统通用技术条件》（GA/T496-2014）</w:t>
      </w:r>
      <w:r/>
    </w:p>
    <w:p>
      <w:pPr>
        <w:pStyle w:val="934"/>
        <w:ind w:firstLine="420"/>
        <w:rPr>
          <w:rFonts w:asciiTheme="minorEastAsia" w:hAnsiTheme="minorEastAsia"/>
        </w:rPr>
      </w:pPr>
      <w:r>
        <w:rPr>
          <w:rFonts w:hint="eastAsia" w:asciiTheme="minorEastAsia" w:hAnsiTheme="minorEastAsia"/>
        </w:rPr>
        <w:t xml:space="preserve"> 《机动车测速仪》（GB/T 21255-2019）</w:t>
      </w:r>
      <w:r/>
    </w:p>
    <w:p>
      <w:pPr>
        <w:pStyle w:val="934"/>
        <w:ind w:firstLine="420"/>
        <w:rPr>
          <w:rFonts w:asciiTheme="minorEastAsia" w:hAnsiTheme="minorEastAsia"/>
        </w:rPr>
      </w:pPr>
      <w:r>
        <w:rPr>
          <w:rFonts w:hint="eastAsia" w:asciiTheme="minorEastAsia" w:hAnsiTheme="minorEastAsia"/>
        </w:rPr>
        <w:t xml:space="preserve">《道路交通信号灯》（GB 14887-2011）</w:t>
      </w:r>
      <w:r/>
    </w:p>
    <w:p>
      <w:pPr>
        <w:pStyle w:val="934"/>
        <w:ind w:firstLine="420"/>
        <w:rPr>
          <w:rFonts w:asciiTheme="minorEastAsia" w:hAnsiTheme="minorEastAsia"/>
        </w:rPr>
      </w:pPr>
      <w:r>
        <w:rPr>
          <w:rFonts w:hint="eastAsia" w:asciiTheme="minorEastAsia" w:hAnsiTheme="minorEastAsia"/>
        </w:rPr>
        <w:t xml:space="preserve">《道路交通信号灯设置与安装规范》（GB 14886-2016）</w:t>
      </w:r>
      <w:r/>
    </w:p>
    <w:p>
      <w:pPr>
        <w:pStyle w:val="934"/>
        <w:ind w:firstLine="420"/>
        <w:rPr>
          <w:rFonts w:asciiTheme="minorEastAsia" w:hAnsiTheme="minorEastAsia"/>
        </w:rPr>
      </w:pPr>
      <w:r>
        <w:rPr>
          <w:rFonts w:hint="eastAsia" w:asciiTheme="minorEastAsia" w:hAnsiTheme="minorEastAsia"/>
        </w:rPr>
        <w:t xml:space="preserve">《交通技术监控成像补光装置通用技术条件》（GA/T1202-2014）</w:t>
      </w:r>
      <w:r/>
    </w:p>
    <w:p>
      <w:pPr>
        <w:pStyle w:val="934"/>
        <w:ind w:firstLine="420"/>
        <w:rPr>
          <w:rFonts w:asciiTheme="minorEastAsia" w:hAnsiTheme="minorEastAsia"/>
        </w:rPr>
      </w:pPr>
      <w:r>
        <w:rPr>
          <w:rFonts w:hint="eastAsia" w:asciiTheme="minorEastAsia" w:hAnsiTheme="minorEastAsia"/>
        </w:rPr>
        <w:t xml:space="preserve">《道路交通安全违法行为图像取证技术规范》（GA/T832-2014）</w:t>
      </w:r>
      <w:r/>
    </w:p>
    <w:p>
      <w:pPr>
        <w:pStyle w:val="934"/>
        <w:ind w:firstLine="420"/>
        <w:rPr>
          <w:rFonts w:asciiTheme="minorEastAsia" w:hAnsiTheme="minorEastAsia"/>
        </w:rPr>
      </w:pPr>
      <w:r>
        <w:rPr>
          <w:rFonts w:hint="eastAsia" w:asciiTheme="minorEastAsia" w:hAnsiTheme="minorEastAsia"/>
        </w:rPr>
        <w:t xml:space="preserve">《道路交通安全违法行为视频取证设备技术规范》（GA/T 995—2020）</w:t>
      </w:r>
      <w:r/>
    </w:p>
    <w:p>
      <w:pPr>
        <w:pStyle w:val="934"/>
        <w:ind w:firstLine="420"/>
        <w:rPr>
          <w:rFonts w:asciiTheme="minorEastAsia" w:hAnsiTheme="minorEastAsia"/>
        </w:rPr>
      </w:pPr>
      <w:r>
        <w:rPr>
          <w:rFonts w:hint="eastAsia" w:asciiTheme="minorEastAsia" w:hAnsiTheme="minorEastAsia"/>
        </w:rPr>
        <w:t xml:space="preserve">《机动车号牌图像自动识别技术规范》（GA/T833-2016）</w:t>
      </w:r>
      <w:r/>
    </w:p>
    <w:p>
      <w:pPr>
        <w:pStyle w:val="934"/>
        <w:ind w:firstLine="420"/>
        <w:rPr>
          <w:rFonts w:asciiTheme="minorEastAsia" w:hAnsiTheme="minorEastAsia"/>
        </w:rPr>
      </w:pPr>
      <w:r>
        <w:rPr>
          <w:rFonts w:hint="eastAsia" w:asciiTheme="minorEastAsia" w:hAnsiTheme="minorEastAsia"/>
        </w:rPr>
        <w:t xml:space="preserve">《道路交通技术监控设备运行维护规范》（GA/T 1043-2013）</w:t>
      </w:r>
      <w:r/>
    </w:p>
    <w:p>
      <w:pPr>
        <w:pStyle w:val="934"/>
        <w:ind w:firstLine="420"/>
        <w:rPr>
          <w:rFonts w:asciiTheme="minorEastAsia" w:hAnsiTheme="minorEastAsia"/>
        </w:rPr>
      </w:pPr>
      <w:r>
        <w:rPr>
          <w:rFonts w:hint="eastAsia" w:asciiTheme="minorEastAsia" w:hAnsiTheme="minorEastAsia"/>
        </w:rPr>
        <w:t xml:space="preserve">《安全防范工程通用规范》(GB 55029-2022  )</w:t>
      </w:r>
      <w:r/>
    </w:p>
    <w:p>
      <w:pPr>
        <w:pStyle w:val="934"/>
        <w:ind w:firstLine="420"/>
        <w:rPr>
          <w:rFonts w:asciiTheme="minorEastAsia" w:hAnsiTheme="minorEastAsia"/>
        </w:rPr>
      </w:pPr>
      <w:r>
        <w:rPr>
          <w:rFonts w:hint="eastAsia" w:asciiTheme="minorEastAsia" w:hAnsiTheme="minorEastAsia"/>
        </w:rPr>
        <w:t xml:space="preserve">《视频安防监控系统工程设计规范》(中华人民共和国国家标准 GB50395-2007)</w:t>
      </w:r>
      <w:r/>
    </w:p>
    <w:p>
      <w:pPr>
        <w:pStyle w:val="934"/>
        <w:ind w:firstLine="420"/>
        <w:rPr>
          <w:rFonts w:asciiTheme="minorEastAsia" w:hAnsiTheme="minorEastAsia"/>
        </w:rPr>
      </w:pPr>
      <w:r>
        <w:rPr>
          <w:rFonts w:hint="eastAsia" w:asciiTheme="minorEastAsia" w:hAnsiTheme="minorEastAsia"/>
        </w:rPr>
        <w:t xml:space="preserve">《交通电视监视系统工程验收规范》 (GA/T514-2004)</w:t>
      </w:r>
      <w:r/>
    </w:p>
    <w:p>
      <w:pPr>
        <w:pStyle w:val="934"/>
        <w:ind w:firstLine="420"/>
        <w:rPr>
          <w:rFonts w:asciiTheme="minorEastAsia" w:hAnsiTheme="minorEastAsia"/>
        </w:rPr>
      </w:pPr>
      <w:r>
        <w:rPr>
          <w:rFonts w:hint="eastAsia" w:asciiTheme="minorEastAsia" w:hAnsiTheme="minorEastAsia"/>
        </w:rPr>
        <w:t xml:space="preserve">《公安交通指挥系统设计规范 第4部分:制图》（GA/T 515.4-2011）</w:t>
      </w:r>
      <w:r/>
    </w:p>
    <w:p>
      <w:pPr>
        <w:pStyle w:val="934"/>
        <w:ind w:firstLine="420"/>
        <w:rPr>
          <w:rFonts w:asciiTheme="minorEastAsia" w:hAnsiTheme="minorEastAsia"/>
        </w:rPr>
      </w:pPr>
      <w:r>
        <w:rPr>
          <w:rFonts w:hint="eastAsia" w:asciiTheme="minorEastAsia" w:hAnsiTheme="minorEastAsia"/>
        </w:rPr>
        <w:t xml:space="preserve">《公安交通管理设备外场设备施工要求》（GA/T652-2017）</w:t>
      </w:r>
      <w:r/>
    </w:p>
    <w:p>
      <w:pPr>
        <w:pStyle w:val="934"/>
        <w:ind w:firstLine="420"/>
        <w:rPr>
          <w:rFonts w:asciiTheme="minorEastAsia" w:hAnsiTheme="minorEastAsia"/>
        </w:rPr>
      </w:pPr>
      <w:r>
        <w:rPr>
          <w:rFonts w:hint="eastAsia" w:asciiTheme="minorEastAsia" w:hAnsiTheme="minorEastAsia"/>
        </w:rPr>
        <w:t xml:space="preserve">《民用闭路监视电视系统工程技术规范(附条文说明)》 （GB 50198-2011）</w:t>
      </w:r>
      <w:r/>
    </w:p>
    <w:p>
      <w:pPr>
        <w:pStyle w:val="934"/>
        <w:ind w:firstLine="420"/>
        <w:rPr>
          <w:rFonts w:asciiTheme="minorEastAsia" w:hAnsiTheme="minorEastAsia"/>
        </w:rPr>
      </w:pPr>
      <w:r>
        <w:rPr>
          <w:rFonts w:hint="eastAsia" w:asciiTheme="minorEastAsia" w:hAnsiTheme="minorEastAsia"/>
        </w:rPr>
        <w:t xml:space="preserve">《信息技术 软件生存周期过程》（GB/T 8566-2007）</w:t>
      </w:r>
      <w:r/>
    </w:p>
    <w:p>
      <w:pPr>
        <w:pStyle w:val="934"/>
        <w:ind w:firstLine="420"/>
        <w:rPr>
          <w:rFonts w:asciiTheme="minorEastAsia" w:hAnsiTheme="minorEastAsia"/>
        </w:rPr>
      </w:pPr>
      <w:r>
        <w:rPr>
          <w:rFonts w:hint="eastAsia" w:asciiTheme="minorEastAsia" w:hAnsiTheme="minorEastAsia"/>
        </w:rPr>
        <w:t xml:space="preserve">《安全防范工程程序与要求》 (GA/T75-94)</w:t>
      </w:r>
      <w:r/>
    </w:p>
    <w:p>
      <w:pPr>
        <w:pStyle w:val="934"/>
        <w:ind w:firstLine="420"/>
        <w:rPr>
          <w:rFonts w:asciiTheme="minorEastAsia" w:hAnsiTheme="minorEastAsia"/>
        </w:rPr>
      </w:pPr>
      <w:r>
        <w:rPr>
          <w:rFonts w:hint="eastAsia" w:asciiTheme="minorEastAsia" w:hAnsiTheme="minorEastAsia"/>
        </w:rPr>
        <w:t xml:space="preserve">《电子政务标准化指南 第3部分:网络建设》（GB/T 30850.3-2014  ）</w:t>
      </w:r>
      <w:r/>
    </w:p>
    <w:p>
      <w:pPr>
        <w:pStyle w:val="934"/>
        <w:ind w:firstLine="420"/>
        <w:rPr>
          <w:rFonts w:asciiTheme="minorEastAsia" w:hAnsiTheme="minorEastAsia"/>
        </w:rPr>
      </w:pPr>
      <w:r>
        <w:rPr>
          <w:rFonts w:hint="eastAsia" w:asciiTheme="minorEastAsia" w:hAnsiTheme="minorEastAsia"/>
        </w:rPr>
        <w:t xml:space="preserve">GB/T 2423.1  电工电子产品环境试验 第2部分：试验方法 试验A：低温</w:t>
      </w:r>
      <w:r/>
    </w:p>
    <w:p>
      <w:pPr>
        <w:pStyle w:val="934"/>
        <w:ind w:firstLine="420"/>
        <w:rPr>
          <w:rFonts w:asciiTheme="minorEastAsia" w:hAnsiTheme="minorEastAsia"/>
        </w:rPr>
      </w:pPr>
      <w:r>
        <w:rPr>
          <w:rFonts w:hint="eastAsia" w:asciiTheme="minorEastAsia" w:hAnsiTheme="minorEastAsia"/>
        </w:rPr>
        <w:t xml:space="preserve">GB/T 2423.2  电工电子产品环境试验 第2部分：试验方法 试验B：高温</w:t>
      </w:r>
      <w:r/>
    </w:p>
    <w:p>
      <w:pPr>
        <w:pStyle w:val="934"/>
        <w:ind w:firstLine="420"/>
        <w:rPr>
          <w:rFonts w:asciiTheme="minorEastAsia" w:hAnsiTheme="minorEastAsia"/>
        </w:rPr>
      </w:pPr>
      <w:r>
        <w:rPr>
          <w:rFonts w:hint="eastAsia" w:asciiTheme="minorEastAsia" w:hAnsiTheme="minorEastAsia"/>
        </w:rPr>
        <w:t xml:space="preserve">GB/T 2423.3  电工电子产品环境试验 第2部分：试验方法 试验Cab：恒定湿热试验</w:t>
      </w:r>
      <w:r/>
    </w:p>
    <w:p>
      <w:pPr>
        <w:pStyle w:val="934"/>
        <w:ind w:firstLine="420"/>
        <w:rPr>
          <w:rFonts w:asciiTheme="minorEastAsia" w:hAnsiTheme="minorEastAsia"/>
        </w:rPr>
      </w:pPr>
      <w:r>
        <w:rPr>
          <w:rFonts w:hint="eastAsia" w:asciiTheme="minorEastAsia" w:hAnsiTheme="minorEastAsia"/>
        </w:rPr>
        <w:t xml:space="preserve">GB/T 2423.5  电工电子产品环境试验 第2部分：试验方法 试验Ea和导则：冲击</w:t>
      </w:r>
      <w:r/>
    </w:p>
    <w:p>
      <w:pPr>
        <w:pStyle w:val="934"/>
        <w:ind w:firstLine="420"/>
        <w:rPr>
          <w:rFonts w:asciiTheme="minorEastAsia" w:hAnsiTheme="minorEastAsia"/>
        </w:rPr>
      </w:pPr>
      <w:r>
        <w:rPr>
          <w:rFonts w:hint="eastAsia" w:asciiTheme="minorEastAsia" w:hAnsiTheme="minorEastAsia"/>
        </w:rPr>
        <w:t xml:space="preserve">GB/T 2423.10 电工电子产品环境试验 第2部分：试验方法 试验Fc：振动（正弦）</w:t>
      </w:r>
      <w:r/>
    </w:p>
    <w:p>
      <w:pPr>
        <w:pStyle w:val="934"/>
        <w:ind w:firstLine="420"/>
        <w:rPr>
          <w:rFonts w:asciiTheme="minorEastAsia" w:hAnsiTheme="minorEastAsia"/>
        </w:rPr>
      </w:pPr>
      <w:r>
        <w:rPr>
          <w:rFonts w:hint="eastAsia" w:asciiTheme="minorEastAsia" w:hAnsiTheme="minorEastAsia"/>
        </w:rPr>
        <w:t xml:space="preserve">GB/T 17626.2 电磁兼容 试验和测量技术 静电放电抗扰度试验</w:t>
      </w:r>
      <w:r/>
    </w:p>
    <w:p>
      <w:pPr>
        <w:pStyle w:val="934"/>
        <w:ind w:firstLine="420"/>
        <w:rPr>
          <w:rFonts w:asciiTheme="minorEastAsia" w:hAnsiTheme="minorEastAsia"/>
        </w:rPr>
      </w:pPr>
      <w:r>
        <w:rPr>
          <w:rFonts w:hint="eastAsia" w:asciiTheme="minorEastAsia" w:hAnsiTheme="minorEastAsia"/>
        </w:rPr>
        <w:t xml:space="preserve">GB/T 17626.4 电磁兼容 试验和测量技术 电快速瞬变脉冲群抗扰度试验</w:t>
      </w:r>
      <w:r/>
    </w:p>
    <w:p>
      <w:pPr>
        <w:pStyle w:val="934"/>
        <w:ind w:firstLine="420"/>
        <w:rPr>
          <w:rFonts w:asciiTheme="minorEastAsia" w:hAnsiTheme="minorEastAsia"/>
        </w:rPr>
      </w:pPr>
      <w:r>
        <w:rPr>
          <w:rFonts w:hint="eastAsia" w:asciiTheme="minorEastAsia" w:hAnsiTheme="minorEastAsia"/>
        </w:rPr>
        <w:t xml:space="preserve">GB/T 17626.5 电磁兼容 试验和测量技术 浪涌（冲击）抗扰度试验</w:t>
      </w:r>
      <w:r/>
    </w:p>
    <w:p>
      <w:pPr>
        <w:pStyle w:val="934"/>
        <w:ind w:firstLine="420"/>
        <w:rPr>
          <w:rFonts w:asciiTheme="minorEastAsia" w:hAnsiTheme="minorEastAsia"/>
        </w:rPr>
      </w:pPr>
      <w:r>
        <w:rPr>
          <w:rFonts w:hint="eastAsia" w:asciiTheme="minorEastAsia" w:hAnsiTheme="minorEastAsia"/>
        </w:rPr>
        <w:t xml:space="preserve">GB/T 17626.11电磁兼容 试验和测量技术 电压暂降、短时中断和电压变化的抗扰度试验</w:t>
      </w:r>
      <w:r/>
    </w:p>
    <w:p>
      <w:pPr>
        <w:pStyle w:val="934"/>
        <w:ind w:firstLine="420"/>
        <w:rPr>
          <w:rFonts w:asciiTheme="minorEastAsia" w:hAnsiTheme="minorEastAsia"/>
        </w:rPr>
      </w:pPr>
      <w:r>
        <w:rPr>
          <w:rFonts w:hint="eastAsia" w:asciiTheme="minorEastAsia" w:hAnsiTheme="minorEastAsia"/>
        </w:rPr>
        <w:t xml:space="preserve">安全设备必须符合“公安部300系列安全标准”的要求</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满足所有硬件产品均符合国产化要求</w:t>
      </w:r>
      <w:r/>
    </w:p>
    <w:p>
      <w:pPr>
        <w:pStyle w:val="884"/>
        <w:rPr>
          <w:rFonts w:hint="eastAsia"/>
          <w:b/>
          <w:color w:val="auto"/>
          <w:sz w:val="24"/>
          <w:szCs w:val="24"/>
          <w:highlight w:val="none"/>
          <w:lang w:val="en-US" w:eastAsia="zh-CN"/>
        </w:rPr>
      </w:pPr>
      <w:r>
        <w:rPr>
          <w:rFonts w:hint="eastAsia" w:asciiTheme="minorEastAsia" w:hAnsiTheme="minorEastAsia"/>
          <w:sz w:val="24"/>
          <w:szCs w:val="24"/>
        </w:rPr>
        <w:t xml:space="preserve">上述规范以外，遵循国家现行规范。</w:t>
      </w:r>
      <w:r/>
    </w:p>
    <w:p>
      <w:pPr>
        <w:spacing w:after="0" w:line="520" w:lineRule="exact"/>
        <w:rPr>
          <w:rFonts w:ascii="宋体" w:hAnsi="宋体" w:cs="宋体"/>
          <w:b/>
          <w:bCs/>
          <w:color w:val="ff0000"/>
          <w:sz w:val="24"/>
        </w:rPr>
      </w:pPr>
      <w:r>
        <w:rPr>
          <w:rFonts w:hint="eastAsia" w:asciiTheme="minorEastAsia" w:hAnsiTheme="minorEastAsia" w:eastAsiaTheme="minorEastAsia" w:cstheme="minorEastAsia"/>
          <w:b/>
          <w:bCs/>
          <w:color w:val="ff0000"/>
          <w:sz w:val="28"/>
          <w:szCs w:val="28"/>
        </w:rPr>
        <w:t xml:space="preserve">分包</w:t>
      </w:r>
      <w:r>
        <w:rPr>
          <w:rFonts w:hint="eastAsia" w:asciiTheme="minorEastAsia" w:hAnsiTheme="minorEastAsia" w:eastAsiaTheme="minorEastAsia" w:cstheme="minorEastAsia"/>
          <w:b/>
          <w:bCs/>
          <w:color w:val="ff0000"/>
          <w:sz w:val="28"/>
          <w:szCs w:val="28"/>
          <w:lang w:val="en-US" w:eastAsia="zh-CN"/>
        </w:rPr>
        <w:t xml:space="preserve">2</w:t>
      </w:r>
      <w:r>
        <w:rPr>
          <w:rFonts w:hint="eastAsia" w:asciiTheme="minorEastAsia" w:hAnsiTheme="minorEastAsia" w:eastAsiaTheme="minorEastAsia" w:cstheme="minorEastAsia"/>
          <w:b/>
          <w:bCs/>
          <w:color w:val="ff0000"/>
          <w:sz w:val="28"/>
          <w:szCs w:val="28"/>
        </w:rPr>
        <w:t xml:space="preserve">：</w:t>
      </w:r>
      <w:r>
        <w:rPr>
          <w:rFonts w:hint="eastAsia" w:ascii="宋体" w:hAnsi="宋体" w:cs="宋体"/>
          <w:b/>
          <w:bCs/>
          <w:color w:val="ff0000"/>
          <w:sz w:val="24"/>
        </w:rPr>
        <w:t xml:space="preserve">特征抓拍点位升级改造</w:t>
      </w:r>
      <w:r/>
    </w:p>
    <w:p>
      <w:pPr>
        <w:spacing w:after="0" w:line="520" w:lineRule="exact"/>
        <w:rPr>
          <w:rFonts w:ascii="宋体" w:hAnsi="宋体" w:cs="宋体"/>
          <w:b/>
          <w:bCs/>
          <w:color w:val="ff0000"/>
          <w:sz w:val="24"/>
          <w:highlight w:val="none"/>
        </w:rPr>
      </w:pPr>
      <w:r>
        <w:rPr>
          <w:rFonts w:hint="eastAsia" w:asciiTheme="minorEastAsia" w:hAnsiTheme="minorEastAsia" w:eastAsiaTheme="minorEastAsia" w:cstheme="minorEastAsia"/>
          <w:b/>
          <w:bCs/>
          <w:color w:val="ff0000"/>
          <w:sz w:val="28"/>
          <w:szCs w:val="28"/>
          <w:highlight w:val="none"/>
        </w:rPr>
        <w:t xml:space="preserve">核心产品：</w:t>
      </w:r>
      <w:r>
        <w:rPr>
          <w:rFonts w:hint="eastAsia" w:ascii="宋体" w:hAnsi="宋体" w:cs="宋体"/>
          <w:b/>
          <w:bCs/>
          <w:color w:val="ff0000"/>
          <w:sz w:val="24"/>
          <w:highlight w:val="none"/>
        </w:rPr>
        <w:t xml:space="preserve">室外双摄特征抓拍</w:t>
      </w:r>
      <w:r/>
    </w:p>
    <w:p>
      <w:pPr>
        <w:ind w:firstLine="480"/>
        <w:spacing w:after="0" w:line="360" w:lineRule="auto"/>
        <w:rPr>
          <w:rFonts w:asciiTheme="minorEastAsia" w:hAnsiTheme="minorEastAsia"/>
          <w:sz w:val="24"/>
          <w:highlight w:val="none"/>
        </w:rPr>
      </w:pPr>
      <w:r>
        <w:rPr>
          <w:rFonts w:hint="eastAsia" w:asciiTheme="minorEastAsia" w:hAnsiTheme="minorEastAsia"/>
          <w:sz w:val="24"/>
          <w:highlight w:val="none"/>
        </w:rPr>
        <w:t xml:space="preserve">对仪征市辖区范围内特征抓拍点位进行更新补盲，增加小区、路口、非机动车道特征相机密度，将老旧损坏枪机替换为智能感知前端，并通过更新、增加高清球机进行视频补盲。共新增</w:t>
      </w:r>
      <w:r>
        <w:rPr>
          <w:rFonts w:hint="eastAsia" w:asciiTheme="minorEastAsia" w:hAnsiTheme="minorEastAsia"/>
          <w:sz w:val="24"/>
          <w:highlight w:val="none"/>
          <w:lang w:val="en-US" w:eastAsia="zh-CN"/>
        </w:rPr>
        <w:t xml:space="preserve">8</w:t>
      </w:r>
      <w:r>
        <w:rPr>
          <w:rFonts w:hint="eastAsia" w:asciiTheme="minorEastAsia" w:hAnsiTheme="minorEastAsia"/>
          <w:sz w:val="24"/>
          <w:highlight w:val="none"/>
        </w:rPr>
        <w:t xml:space="preserve">台行人闯红灯抓拍单元、</w:t>
      </w:r>
      <w:r>
        <w:rPr>
          <w:rFonts w:hint="eastAsia" w:asciiTheme="minorEastAsia" w:hAnsiTheme="minorEastAsia"/>
          <w:sz w:val="24"/>
          <w:highlight w:val="none"/>
          <w:lang w:val="en-US" w:eastAsia="zh-CN"/>
        </w:rPr>
        <w:t xml:space="preserve">36台</w:t>
      </w:r>
      <w:r>
        <w:rPr>
          <w:rFonts w:hint="eastAsia" w:asciiTheme="minorEastAsia" w:hAnsiTheme="minorEastAsia"/>
          <w:sz w:val="24"/>
          <w:highlight w:val="none"/>
        </w:rPr>
        <w:t xml:space="preserve">室外双摄高清球机</w:t>
      </w:r>
      <w:r>
        <w:rPr>
          <w:rFonts w:hint="eastAsia" w:asciiTheme="minorEastAsia" w:hAnsiTheme="minorEastAsia"/>
          <w:sz w:val="24"/>
          <w:highlight w:val="none"/>
          <w:lang w:eastAsia="zh-CN"/>
        </w:rPr>
        <w:t xml:space="preserve">、</w:t>
      </w:r>
      <w:r>
        <w:rPr>
          <w:rFonts w:hint="eastAsia" w:asciiTheme="minorEastAsia" w:hAnsiTheme="minorEastAsia"/>
          <w:sz w:val="24"/>
          <w:highlight w:val="none"/>
          <w:lang w:val="en-US" w:eastAsia="zh-CN"/>
        </w:rPr>
        <w:t xml:space="preserve">2台</w:t>
      </w:r>
      <w:r>
        <w:rPr>
          <w:rFonts w:hint="eastAsia" w:asciiTheme="minorEastAsia" w:hAnsiTheme="minorEastAsia"/>
          <w:sz w:val="24"/>
          <w:highlight w:val="none"/>
          <w:lang w:eastAsia="zh-CN"/>
        </w:rPr>
        <w:t xml:space="preserve">室</w:t>
      </w:r>
      <w:r>
        <w:rPr>
          <w:rFonts w:hint="eastAsia" w:asciiTheme="minorEastAsia" w:hAnsiTheme="minorEastAsia"/>
          <w:sz w:val="24"/>
          <w:highlight w:val="none"/>
          <w:lang w:val="en-US" w:eastAsia="zh-CN"/>
        </w:rPr>
        <w:t xml:space="preserve">内特征抓拍</w:t>
      </w:r>
      <w:r>
        <w:rPr>
          <w:rFonts w:hint="eastAsia" w:asciiTheme="minorEastAsia" w:hAnsiTheme="minorEastAsia"/>
          <w:sz w:val="24"/>
          <w:highlight w:val="none"/>
          <w:lang w:eastAsia="zh-CN"/>
        </w:rPr>
        <w:t xml:space="preserve">、</w:t>
      </w:r>
      <w:r>
        <w:rPr>
          <w:rFonts w:hint="eastAsia" w:asciiTheme="minorEastAsia" w:hAnsiTheme="minorEastAsia"/>
          <w:sz w:val="24"/>
          <w:highlight w:val="none"/>
          <w:lang w:val="en-US" w:eastAsia="zh-CN"/>
        </w:rPr>
        <w:t xml:space="preserve">45台</w:t>
      </w:r>
      <w:r>
        <w:rPr>
          <w:rFonts w:hint="eastAsia" w:asciiTheme="minorEastAsia" w:hAnsiTheme="minorEastAsia"/>
          <w:sz w:val="24"/>
          <w:highlight w:val="none"/>
          <w:lang w:eastAsia="zh-CN"/>
        </w:rPr>
        <w:t xml:space="preserve">室外双摄特征抓拍、</w:t>
      </w:r>
      <w:r>
        <w:rPr>
          <w:rFonts w:hint="eastAsia" w:asciiTheme="minorEastAsia" w:hAnsiTheme="minorEastAsia"/>
          <w:sz w:val="24"/>
          <w:highlight w:val="none"/>
          <w:lang w:val="en-US" w:eastAsia="zh-CN"/>
        </w:rPr>
        <w:t xml:space="preserve">13台</w:t>
      </w:r>
      <w:r>
        <w:rPr>
          <w:rFonts w:hint="eastAsia" w:asciiTheme="minorEastAsia" w:hAnsiTheme="minorEastAsia"/>
          <w:sz w:val="24"/>
          <w:highlight w:val="none"/>
          <w:lang w:eastAsia="zh-CN"/>
        </w:rPr>
        <w:t xml:space="preserve">室外四摄特征抓拍、</w:t>
      </w:r>
      <w:r>
        <w:rPr>
          <w:rFonts w:hint="eastAsia" w:asciiTheme="minorEastAsia" w:hAnsiTheme="minorEastAsia"/>
          <w:sz w:val="24"/>
          <w:highlight w:val="none"/>
          <w:lang w:val="en-US" w:eastAsia="zh-CN"/>
        </w:rPr>
        <w:t xml:space="preserve">14台高清枪机、71套人脸补光灯、14套环境补光灯及</w:t>
      </w:r>
      <w:r>
        <w:rPr>
          <w:rFonts w:hint="eastAsia" w:asciiTheme="minorEastAsia" w:hAnsiTheme="minorEastAsia"/>
          <w:sz w:val="24"/>
          <w:highlight w:val="none"/>
        </w:rPr>
        <w:t xml:space="preserve">配套扩容后端云存储设备，满足录像存储及大数据智能分析需要。该项目要实现与仪征市公安视频图像信息应用平台无缝对接，实现资源统一管理、应用整合共享。</w:t>
      </w:r>
      <w:r/>
    </w:p>
    <w:p>
      <w:pPr>
        <w:ind w:firstLine="422"/>
        <w:spacing w:after="0" w:line="360" w:lineRule="auto"/>
        <w:rPr>
          <w:rFonts w:ascii="宋体" w:hAnsi="宋体"/>
          <w:b/>
          <w:i/>
          <w:color w:val="0000ff"/>
          <w:sz w:val="28"/>
          <w:szCs w:val="28"/>
          <w:u w:val="single"/>
        </w:rPr>
      </w:pPr>
      <w:r>
        <w:rPr>
          <w:rFonts w:hint="eastAsia" w:asciiTheme="minorEastAsia" w:hAnsiTheme="minorEastAsia"/>
          <w:i/>
          <w:iCs/>
          <w:sz w:val="24"/>
          <w:u w:val="single"/>
        </w:rPr>
        <w:t xml:space="preserve">须为前端相机、云存储扩容硬件至少提供5年的原厂质保。</w:t>
      </w:r>
      <w:r>
        <w:rPr>
          <w:rFonts w:hint="eastAsia" w:ascii="宋体" w:hAnsi="宋体" w:cs="宋体"/>
          <w:b/>
          <w:i/>
          <w:iCs/>
          <w:sz w:val="24"/>
          <w:u w:val="single"/>
        </w:rPr>
        <w:t xml:space="preserve">（提供承诺函，原件扫描上传，格式自拟）</w:t>
      </w:r>
      <w:r/>
    </w:p>
    <w:p>
      <w:pPr>
        <w:pStyle w:val="934"/>
        <w:ind w:firstLine="420"/>
        <w:rPr>
          <w:rFonts w:ascii="宋体" w:hAnsi="宋体"/>
          <w:color w:val="auto"/>
          <w:sz w:val="28"/>
          <w:szCs w:val="28"/>
          <w:highlight w:val="none"/>
        </w:rPr>
      </w:pPr>
      <w:r>
        <w:rPr>
          <w:rFonts w:hint="eastAsia" w:asciiTheme="minorEastAsia" w:hAnsiTheme="minorEastAsia"/>
          <w:color w:val="auto"/>
          <w:highlight w:val="none"/>
        </w:rPr>
        <w:t xml:space="preserve">包括</w:t>
      </w:r>
      <w:r>
        <w:rPr>
          <w:rFonts w:hint="eastAsia" w:asciiTheme="minorEastAsia" w:hAnsiTheme="minorEastAsia"/>
          <w:color w:val="auto"/>
          <w:sz w:val="24"/>
          <w:highlight w:val="none"/>
        </w:rPr>
        <w:t xml:space="preserve">共新增</w:t>
      </w:r>
      <w:r>
        <w:rPr>
          <w:rFonts w:hint="eastAsia" w:asciiTheme="minorEastAsia" w:hAnsiTheme="minorEastAsia"/>
          <w:color w:val="auto"/>
          <w:sz w:val="24"/>
          <w:highlight w:val="none"/>
          <w:lang w:val="en-US" w:eastAsia="zh-CN"/>
        </w:rPr>
        <w:t xml:space="preserve">8</w:t>
      </w:r>
      <w:r>
        <w:rPr>
          <w:rFonts w:hint="eastAsia" w:asciiTheme="minorEastAsia" w:hAnsiTheme="minorEastAsia"/>
          <w:color w:val="auto"/>
          <w:sz w:val="24"/>
          <w:highlight w:val="none"/>
        </w:rPr>
        <w:t xml:space="preserve">台行人闯红灯抓拍单元、</w:t>
      </w:r>
      <w:r>
        <w:rPr>
          <w:rFonts w:hint="eastAsia" w:asciiTheme="minorEastAsia" w:hAnsiTheme="minorEastAsia"/>
          <w:color w:val="auto"/>
          <w:sz w:val="24"/>
          <w:highlight w:val="none"/>
          <w:lang w:val="en-US" w:eastAsia="zh-CN"/>
        </w:rPr>
        <w:t xml:space="preserve">36台</w:t>
      </w:r>
      <w:r>
        <w:rPr>
          <w:rFonts w:hint="eastAsia" w:asciiTheme="minorEastAsia" w:hAnsiTheme="minorEastAsia"/>
          <w:color w:val="auto"/>
          <w:sz w:val="24"/>
          <w:highlight w:val="none"/>
        </w:rPr>
        <w:t xml:space="preserve">室外双摄高清球机</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2台</w:t>
      </w:r>
      <w:r>
        <w:rPr>
          <w:rFonts w:hint="eastAsia" w:asciiTheme="minorEastAsia" w:hAnsiTheme="minorEastAsia"/>
          <w:color w:val="auto"/>
          <w:sz w:val="24"/>
          <w:highlight w:val="none"/>
          <w:lang w:eastAsia="zh-CN"/>
        </w:rPr>
        <w:t xml:space="preserve">室</w:t>
      </w:r>
      <w:r>
        <w:rPr>
          <w:rFonts w:hint="eastAsia" w:asciiTheme="minorEastAsia" w:hAnsiTheme="minorEastAsia"/>
          <w:color w:val="auto"/>
          <w:sz w:val="24"/>
          <w:highlight w:val="none"/>
          <w:lang w:val="en-US" w:eastAsia="zh-CN"/>
        </w:rPr>
        <w:t xml:space="preserve">内特征抓拍</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45台</w:t>
      </w:r>
      <w:r>
        <w:rPr>
          <w:rFonts w:hint="eastAsia" w:asciiTheme="minorEastAsia" w:hAnsiTheme="minorEastAsia"/>
          <w:color w:val="auto"/>
          <w:sz w:val="24"/>
          <w:highlight w:val="none"/>
          <w:lang w:eastAsia="zh-CN"/>
        </w:rPr>
        <w:t xml:space="preserve">室外双摄特征抓拍、</w:t>
      </w:r>
      <w:r>
        <w:rPr>
          <w:rFonts w:hint="eastAsia" w:asciiTheme="minorEastAsia" w:hAnsiTheme="minorEastAsia"/>
          <w:color w:val="auto"/>
          <w:sz w:val="24"/>
          <w:highlight w:val="none"/>
          <w:lang w:val="en-US" w:eastAsia="zh-CN"/>
        </w:rPr>
        <w:t xml:space="preserve">13台</w:t>
      </w:r>
      <w:r>
        <w:rPr>
          <w:rFonts w:hint="eastAsia" w:asciiTheme="minorEastAsia" w:hAnsiTheme="minorEastAsia"/>
          <w:color w:val="auto"/>
          <w:sz w:val="24"/>
          <w:highlight w:val="none"/>
          <w:lang w:eastAsia="zh-CN"/>
        </w:rPr>
        <w:t xml:space="preserve">室外四摄特征抓拍、</w:t>
      </w:r>
      <w:r>
        <w:rPr>
          <w:rFonts w:hint="eastAsia" w:asciiTheme="minorEastAsia" w:hAnsiTheme="minorEastAsia"/>
          <w:color w:val="auto"/>
          <w:sz w:val="24"/>
          <w:highlight w:val="none"/>
          <w:lang w:val="en-US" w:eastAsia="zh-CN"/>
        </w:rPr>
        <w:t xml:space="preserve">14台高清枪机、71套人脸补光灯、14套环境补光灯及</w:t>
      </w:r>
      <w:r>
        <w:rPr>
          <w:rFonts w:hint="eastAsia" w:asciiTheme="minorEastAsia" w:hAnsiTheme="minorEastAsia"/>
          <w:color w:val="auto"/>
          <w:sz w:val="24"/>
          <w:highlight w:val="none"/>
        </w:rPr>
        <w:t xml:space="preserve">配套扩容后端云存储设备</w:t>
      </w:r>
      <w:r>
        <w:rPr>
          <w:rFonts w:hint="eastAsia" w:asciiTheme="minorEastAsia" w:hAnsiTheme="minorEastAsia"/>
          <w:color w:val="auto"/>
          <w:highlight w:val="none"/>
        </w:rPr>
        <w:t xml:space="preserve">，实现与仪征市公安局、扬州市公安局现有平台无缝对接，实现资源统一管理、应用整合共享。</w:t>
      </w:r>
      <w:r>
        <w:rPr>
          <w:rFonts w:hint="eastAsia" w:ascii="宋体" w:hAnsi="宋体"/>
          <w:color w:val="auto"/>
          <w:sz w:val="28"/>
          <w:szCs w:val="28"/>
          <w:highlight w:val="none"/>
        </w:rPr>
        <w:t xml:space="preserve"> </w:t>
      </w:r>
      <w:r/>
    </w:p>
    <w:p>
      <w:pPr>
        <w:pStyle w:val="934"/>
        <w:ind w:firstLine="420"/>
        <w:rPr>
          <w:rFonts w:ascii="宋体" w:hAnsi="宋体"/>
          <w:b/>
          <w:bCs/>
          <w:color w:val="0000ff"/>
          <w:sz w:val="28"/>
          <w:szCs w:val="28"/>
        </w:rPr>
      </w:pPr>
      <w:r>
        <w:rPr>
          <w:rFonts w:hint="eastAsia" w:asciiTheme="minorEastAsia" w:hAnsiTheme="minorEastAsia"/>
          <w:i/>
          <w:iCs/>
          <w:u w:val="single"/>
        </w:rPr>
        <w:t xml:space="preserve">项目后端设备供货期限为签订合同后1个月</w:t>
      </w:r>
      <w:r>
        <w:rPr>
          <w:rFonts w:hint="eastAsia" w:asciiTheme="minorEastAsia" w:hAnsiTheme="minorEastAsia"/>
          <w:i/>
          <w:iCs/>
          <w:color w:val="auto"/>
          <w:highlight w:val="none"/>
          <w:u w:val="single"/>
        </w:rPr>
        <w:t xml:space="preserve">内，监理对设</w:t>
      </w:r>
      <w:r>
        <w:rPr>
          <w:rFonts w:hint="eastAsia" w:asciiTheme="minorEastAsia" w:hAnsiTheme="minorEastAsia"/>
          <w:i/>
          <w:iCs/>
          <w:u w:val="single"/>
        </w:rPr>
        <w:t xml:space="preserve">备核验合格后进行安装，安装期限为到货后2个月内，必须在规定期限内完成工作任务。</w:t>
      </w:r>
      <w:r>
        <w:rPr>
          <w:rFonts w:hint="eastAsia" w:ascii="宋体" w:hAnsi="宋体" w:cs="宋体"/>
          <w:b/>
          <w:i/>
          <w:iCs/>
          <w:u w:val="single"/>
        </w:rPr>
        <w:t xml:space="preserve">（提供承诺函，原件扫描上传，格式自拟）</w:t>
      </w:r>
      <w:r/>
    </w:p>
    <w:p>
      <w:pPr>
        <w:ind w:firstLine="482"/>
        <w:jc w:val="left"/>
        <w:spacing w:line="520" w:lineRule="exact"/>
        <w:rPr>
          <w:rFonts w:ascii="宋体" w:hAnsi="宋体" w:cs="宋体"/>
          <w:b/>
          <w:bCs/>
          <w:sz w:val="24"/>
        </w:rPr>
      </w:pPr>
      <w:r>
        <w:rPr>
          <w:rFonts w:hint="eastAsia" w:ascii="宋体" w:hAnsi="宋体" w:cs="宋体"/>
          <w:b/>
          <w:bCs/>
          <w:sz w:val="24"/>
          <w:lang w:val="en-US" w:eastAsia="zh-CN"/>
        </w:rPr>
        <w:t xml:space="preserve">1</w:t>
      </w:r>
      <w:r>
        <w:rPr>
          <w:rFonts w:hint="eastAsia" w:ascii="宋体" w:hAnsi="宋体" w:cs="宋体"/>
          <w:b/>
          <w:bCs/>
          <w:sz w:val="24"/>
        </w:rPr>
        <w:t xml:space="preserve">、前端材料设备部分技术要求：</w:t>
      </w:r>
      <w:r/>
    </w:p>
    <w:p>
      <w:pPr>
        <w:pStyle w:val="934"/>
        <w:ind w:firstLine="420"/>
        <w:rPr>
          <w:rFonts w:asciiTheme="minorEastAsia" w:hAnsiTheme="minorEastAsia"/>
        </w:rPr>
      </w:pPr>
      <w:r>
        <w:rPr>
          <w:rFonts w:hint="eastAsia" w:asciiTheme="minorEastAsia" w:hAnsiTheme="minorEastAsia"/>
        </w:rPr>
        <w:t xml:space="preserve">监控点根据现场实际情况，可采用立杆安装、抱箍安装（横臂不得仅采用不锈钢扎带固定）、壁挂安装等方式。监控立杆设计需要考虑整体杆件的材质、杆型、焊接工艺、表面处理以及杆体颜色等。杆件需要具备后期加装各类设备的扩容功能。</w:t>
      </w:r>
      <w:r/>
    </w:p>
    <w:p>
      <w:pPr>
        <w:pStyle w:val="934"/>
        <w:ind w:firstLine="420"/>
        <w:rPr>
          <w:rFonts w:asciiTheme="minorEastAsia" w:hAnsiTheme="minorEastAsia"/>
        </w:rPr>
      </w:pPr>
      <w:r>
        <w:rPr>
          <w:rFonts w:hint="eastAsia" w:asciiTheme="minorEastAsia" w:hAnsiTheme="minorEastAsia"/>
        </w:rPr>
        <w:t xml:space="preserve">特征抓拍专用立杆的横臂离地面高度需满足相应的特征相机抓拍需求，部分杆件上需要安装球机，球机底部相对于路面高度不得低于6米。 特殊地形可适度调整，采用立杆固定时，杆底端焊接固定法兰盘，预留拉线孔，地基应是硬质，同时根据现场安装点地质的实际情况，调整相应的尺寸。立杆的安装应牢固，不得歪斜，需用水平仪来测定；制作要美观，其顶部需做防水。立杆应有较高强度，抗台风、防摄像机抖动、防攀爬、防腐。</w:t>
      </w:r>
      <w:r/>
    </w:p>
    <w:p>
      <w:pPr>
        <w:ind w:firstLine="482"/>
        <w:jc w:val="left"/>
        <w:spacing w:line="520" w:lineRule="exact"/>
        <w:rPr>
          <w:rFonts w:ascii="宋体" w:hAnsi="宋体" w:cs="宋体"/>
          <w:b/>
          <w:bCs/>
          <w:sz w:val="24"/>
          <w:highlight w:val="none"/>
        </w:rPr>
      </w:pPr>
      <w:r>
        <w:rPr>
          <w:rFonts w:hint="eastAsia" w:ascii="宋体" w:hAnsi="宋体" w:cs="宋体"/>
          <w:b/>
          <w:bCs/>
          <w:sz w:val="24"/>
          <w:highlight w:val="none"/>
        </w:rPr>
        <w:t xml:space="preserve">控制箱</w:t>
      </w:r>
      <w:r/>
    </w:p>
    <w:tbl>
      <w:tblPr>
        <w:tblStyle w:val="878"/>
        <w:tblW w:w="853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1418"/>
        <w:gridCol w:w="3333"/>
        <w:gridCol w:w="780"/>
        <w:gridCol w:w="2535"/>
      </w:tblGrid>
      <w:tr>
        <w:trPr>
          <w:trHeight w:val="454"/>
        </w:trPr>
        <w:tc>
          <w:tcPr>
            <w:tcBorders>
              <w:top w:val="single" w:color="auto" w:sz="4" w:space="0"/>
              <w:left w:val="single" w:color="auto" w:sz="4" w:space="0"/>
              <w:bottom w:val="single" w:color="auto" w:sz="4" w:space="0"/>
              <w:right w:val="single" w:color="auto" w:sz="4" w:space="0"/>
            </w:tcBorders>
            <w:tcW w:w="469"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3333"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规格及型号</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2535"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材质</w:t>
            </w:r>
            <w:r/>
          </w:p>
        </w:tc>
      </w:tr>
      <w:tr>
        <w:trPr>
          <w:trHeight w:val="454"/>
        </w:trPr>
        <w:tc>
          <w:tcPr>
            <w:tcBorders>
              <w:top w:val="single" w:color="auto" w:sz="4" w:space="0"/>
              <w:left w:val="single" w:color="auto" w:sz="4" w:space="0"/>
              <w:bottom w:val="single" w:color="auto" w:sz="4" w:space="0"/>
              <w:right w:val="single" w:color="auto" w:sz="4" w:space="0"/>
            </w:tcBorders>
            <w:tcW w:w="469" w:type="dxa"/>
            <w:vAlign w:val="center"/>
            <w:textDirection w:val="lrTb"/>
            <w:noWrap w:val="false"/>
          </w:tcPr>
          <w:p>
            <w:pPr>
              <w:jc w:val="center"/>
              <w:spacing w:after="0"/>
              <w:rPr>
                <w:rFonts w:ascii="宋体" w:hAnsi="宋体" w:cs="Arial"/>
                <w:szCs w:val="21"/>
                <w:highlight w:val="none"/>
              </w:rPr>
            </w:pPr>
            <w:r>
              <w:rPr>
                <w:rFonts w:hint="eastAsia" w:ascii="宋体" w:hAnsi="宋体" w:cs="Arial"/>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after="0"/>
              <w:rPr>
                <w:rFonts w:ascii="宋体" w:hAnsi="宋体" w:cs="Arial"/>
                <w:bCs/>
                <w:szCs w:val="21"/>
                <w:highlight w:val="none"/>
              </w:rPr>
            </w:pPr>
            <w:r>
              <w:rPr>
                <w:rFonts w:hint="eastAsia" w:ascii="宋体" w:hAnsi="宋体" w:cs="Arial"/>
                <w:bCs/>
                <w:szCs w:val="21"/>
                <w:highlight w:val="none"/>
                <w:lang w:val="en-US" w:eastAsia="zh-CN"/>
              </w:rPr>
              <w:t xml:space="preserve">智能</w:t>
            </w:r>
            <w:r>
              <w:rPr>
                <w:rFonts w:hint="eastAsia" w:ascii="宋体" w:hAnsi="宋体" w:cs="Arial"/>
                <w:bCs/>
                <w:szCs w:val="21"/>
                <w:highlight w:val="none"/>
              </w:rPr>
              <w:t xml:space="preserve">控制箱</w:t>
            </w:r>
            <w:r/>
          </w:p>
        </w:tc>
        <w:tc>
          <w:tcPr>
            <w:tcBorders>
              <w:top w:val="single" w:color="auto" w:sz="4" w:space="0"/>
              <w:left w:val="single" w:color="auto" w:sz="4" w:space="0"/>
              <w:bottom w:val="single" w:color="auto" w:sz="4" w:space="0"/>
              <w:right w:val="single" w:color="auto" w:sz="4" w:space="0"/>
            </w:tcBorders>
            <w:tcW w:w="3333" w:type="dxa"/>
            <w:vAlign w:val="center"/>
            <w:textDirection w:val="lrTb"/>
            <w:noWrap w:val="false"/>
          </w:tcPr>
          <w:p>
            <w:pPr>
              <w:jc w:val="center"/>
              <w:spacing w:after="0"/>
              <w:rPr>
                <w:rFonts w:hint="default" w:ascii="宋体" w:hAnsi="宋体" w:eastAsia="宋体" w:cs="Arial"/>
                <w:szCs w:val="21"/>
                <w:highlight w:val="none"/>
                <w:lang w:val="en-US" w:eastAsia="zh-CN"/>
              </w:rPr>
            </w:pPr>
            <w:r>
              <w:rPr>
                <w:rFonts w:ascii="宋体" w:hAnsi="宋体" w:cs="Arial"/>
                <w:szCs w:val="21"/>
                <w:highlight w:val="none"/>
              </w:rPr>
              <w:t xml:space="preserve">（宽）400×（高）</w:t>
            </w:r>
            <w:r>
              <w:rPr>
                <w:rFonts w:hint="eastAsia" w:ascii="宋体" w:hAnsi="宋体" w:cs="Arial"/>
                <w:szCs w:val="21"/>
                <w:highlight w:val="none"/>
              </w:rPr>
              <w:t xml:space="preserve">61</w:t>
            </w:r>
            <w:r>
              <w:rPr>
                <w:rFonts w:ascii="宋体" w:hAnsi="宋体" w:cs="Arial"/>
                <w:szCs w:val="21"/>
                <w:highlight w:val="none"/>
              </w:rPr>
              <w:t xml:space="preserve">0×（深）</w:t>
            </w:r>
            <w:r>
              <w:rPr>
                <w:rFonts w:hint="eastAsia" w:ascii="宋体" w:hAnsi="宋体" w:cs="Arial"/>
                <w:szCs w:val="21"/>
                <w:highlight w:val="none"/>
                <w:lang w:val="en-US" w:eastAsia="zh-CN"/>
              </w:rPr>
              <w:t xml:space="preserve">300mm</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只</w:t>
            </w:r>
            <w:r/>
          </w:p>
        </w:tc>
        <w:tc>
          <w:tcPr>
            <w:tcBorders>
              <w:top w:val="single" w:color="auto" w:sz="4" w:space="0"/>
              <w:left w:val="single" w:color="auto" w:sz="4" w:space="0"/>
              <w:bottom w:val="single" w:color="auto" w:sz="4" w:space="0"/>
              <w:right w:val="single" w:color="auto" w:sz="4" w:space="0"/>
            </w:tcBorders>
            <w:tcW w:w="2535"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1.5MM</w:t>
            </w:r>
            <w:r>
              <w:rPr>
                <w:rFonts w:hint="eastAsia" w:ascii="宋体" w:hAnsi="宋体" w:cs="Arial"/>
                <w:szCs w:val="21"/>
                <w:highlight w:val="none"/>
              </w:rPr>
              <w:t xml:space="preserve">热镀锌钢板</w:t>
            </w:r>
            <w:r>
              <w:rPr>
                <w:rFonts w:ascii="宋体" w:hAnsi="宋体" w:cs="Arial"/>
                <w:szCs w:val="21"/>
                <w:highlight w:val="none"/>
              </w:rPr>
              <w:t xml:space="preserve">，表面喷塑，固定螺丝热镀锌</w:t>
            </w:r>
            <w:r/>
          </w:p>
        </w:tc>
      </w:tr>
      <w:tr>
        <w:trPr>
          <w:trHeight w:val="454"/>
        </w:trPr>
        <w:tc>
          <w:tcPr>
            <w:tcBorders>
              <w:top w:val="single" w:color="auto" w:sz="4" w:space="0"/>
              <w:left w:val="single" w:color="auto" w:sz="4" w:space="0"/>
              <w:bottom w:val="single" w:color="auto" w:sz="4" w:space="0"/>
              <w:right w:val="single" w:color="auto" w:sz="4" w:space="0"/>
            </w:tcBorders>
            <w:tcW w:w="469" w:type="dxa"/>
            <w:vAlign w:val="center"/>
            <w:textDirection w:val="lrTb"/>
            <w:noWrap w:val="false"/>
          </w:tcPr>
          <w:p>
            <w:pPr>
              <w:jc w:val="center"/>
              <w:spacing w:after="0"/>
              <w:rPr>
                <w:rFonts w:ascii="宋体" w:hAnsi="宋体" w:cs="Arial"/>
                <w:szCs w:val="21"/>
                <w:highlight w:val="none"/>
              </w:rPr>
            </w:pPr>
            <w:r>
              <w:rPr>
                <w:rFonts w:ascii="宋体" w:hAnsi="宋体" w:cs="Arial"/>
                <w:szCs w:val="21"/>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8066" w:type="dxa"/>
            <w:vAlign w:val="bottom"/>
            <w:textDirection w:val="lrTb"/>
            <w:noWrap w:val="false"/>
          </w:tcPr>
          <w:p>
            <w:pPr>
              <w:spacing w:after="0"/>
              <w:rPr>
                <w:rFonts w:hint="eastAsia" w:ascii="宋体" w:hAnsi="宋体" w:eastAsia="宋体" w:cs="Arial"/>
                <w:szCs w:val="21"/>
                <w:highlight w:val="none"/>
                <w:lang w:eastAsia="zh-CN"/>
              </w:rPr>
            </w:pPr>
            <w:r>
              <w:rPr>
                <w:rFonts w:hint="eastAsia" w:ascii="宋体" w:hAnsi="宋体" w:cs="Arial"/>
                <w:szCs w:val="21"/>
                <w:highlight w:val="none"/>
              </w:rPr>
              <w:t xml:space="preserve">箱内安装空开、防雷、4个插座、2路220V输出端子、风扇、5路DC12V、4路DC36V ；北斗定位；市电断电检测；传输网络断网检测；摄像机故障掉线检测；网络故障重启修复；补光灯状态检测（白天异常开启和晚上没正常打开）；远程定时控制供电（开、关、重启）；柜门防盗；电量检测；非法取电告警；温湿度检测；风扇温控；姿态检测、撞击告警、倾斜告警</w:t>
            </w:r>
            <w:r>
              <w:rPr>
                <w:rFonts w:hint="eastAsia" w:ascii="宋体" w:hAnsi="宋体" w:cs="Arial"/>
                <w:szCs w:val="21"/>
                <w:highlight w:val="none"/>
                <w:lang w:eastAsia="zh-CN"/>
              </w:rPr>
              <w:t xml:space="preserve">。</w:t>
            </w:r>
            <w:r/>
          </w:p>
        </w:tc>
      </w:tr>
    </w:tbl>
    <w:p>
      <w:pPr>
        <w:ind w:firstLine="210"/>
        <w:spacing w:after="0"/>
        <w:rPr>
          <w:rFonts w:ascii="宋体" w:hAnsi="宋体" w:cs="Arial"/>
          <w:sz w:val="28"/>
          <w:szCs w:val="28"/>
        </w:rPr>
      </w:pPr>
      <w:r>
        <w:rPr>
          <w:rFonts w:hint="eastAsia" w:asciiTheme="minorEastAsia" w:hAnsiTheme="minorEastAsia"/>
          <w:sz w:val="24"/>
        </w:rPr>
        <w:t xml:space="preserve">所有监控杆件及控制箱由中标人承建，按仪征市公安局要求贴上标牌。</w:t>
      </w:r>
      <w:r/>
    </w:p>
    <w:p>
      <w:pPr>
        <w:ind w:firstLine="482"/>
        <w:jc w:val="left"/>
        <w:spacing w:line="520" w:lineRule="exact"/>
        <w:rPr>
          <w:rFonts w:ascii="宋体" w:hAnsi="宋体" w:cs="宋体"/>
          <w:b/>
          <w:bCs/>
          <w:sz w:val="24"/>
        </w:rPr>
      </w:pPr>
      <w:r>
        <w:rPr>
          <w:rFonts w:hint="eastAsia" w:ascii="宋体" w:hAnsi="宋体" w:cs="宋体"/>
          <w:b/>
          <w:bCs/>
          <w:sz w:val="24"/>
          <w:lang w:val="en-US" w:eastAsia="zh-CN"/>
        </w:rPr>
        <w:t xml:space="preserve">2</w:t>
      </w:r>
      <w:r>
        <w:rPr>
          <w:rFonts w:hint="eastAsia" w:ascii="宋体" w:hAnsi="宋体" w:cs="宋体"/>
          <w:b/>
          <w:bCs/>
          <w:sz w:val="24"/>
        </w:rPr>
        <w:t xml:space="preserve">、后端设备技术参数要求</w:t>
      </w:r>
      <w:r/>
    </w:p>
    <w:p>
      <w:pPr>
        <w:pStyle w:val="934"/>
        <w:ind w:firstLine="420"/>
        <w:rPr>
          <w:rFonts w:asciiTheme="minorEastAsia" w:hAnsiTheme="minorEastAsia"/>
          <w:b/>
          <w:bCs/>
          <w:i/>
          <w:iCs/>
          <w:u w:val="single"/>
        </w:rPr>
      </w:pPr>
      <w:r>
        <w:rPr>
          <w:rFonts w:hint="eastAsia" w:asciiTheme="minorEastAsia" w:hAnsiTheme="minorEastAsia"/>
          <w:b/>
          <w:bCs/>
          <w:i/>
          <w:iCs/>
          <w:u w:val="single"/>
        </w:rPr>
        <w:t xml:space="preserve">设备接入服务器、以太网交换机必须满足【财库〔2023〕7号】财政部 生态环境部 工业和信息化部关于印发《绿色数据中心政府采购需求标准（试行）》的通知中的服务器及存储设备等政府采购需求标准；【投标人需按技术参数要求内容填写《技术参数响应及偏离表》并提供承诺函，加盖公章扫描上传】</w:t>
      </w:r>
      <w:r/>
    </w:p>
    <w:p>
      <w:pPr>
        <w:pStyle w:val="934"/>
        <w:ind w:firstLine="420"/>
        <w:rPr>
          <w:rFonts w:asciiTheme="minorEastAsia" w:hAnsiTheme="minorEastAsia"/>
          <w:b/>
          <w:bCs/>
        </w:rPr>
      </w:pPr>
      <w:r>
        <w:rPr>
          <w:rFonts w:hint="eastAsia" w:asciiTheme="minorEastAsia" w:hAnsiTheme="minorEastAsia"/>
          <w:b/>
          <w:bCs/>
        </w:rPr>
        <w:t xml:space="preserve">采购人应当在履约验收中对中标人提供的产品或服务进行抽查检测，必要时可委托取得相关资质的第三方机构对其进行检测、认证。因检测、认证涉及生产过程或检测时间长等原因，不能在验收过程中开展检测、认证的，可要求中标人在验收阶段提供相关检测报告、认证报告。</w:t>
      </w:r>
      <w:r/>
    </w:p>
    <w:p>
      <w:pPr>
        <w:ind w:firstLine="482"/>
        <w:jc w:val="left"/>
        <w:spacing w:line="520" w:lineRule="exact"/>
        <w:rPr>
          <w:rFonts w:ascii="宋体" w:hAnsi="宋体" w:cs="宋体"/>
          <w:b/>
          <w:bCs/>
          <w:sz w:val="24"/>
        </w:rPr>
      </w:pPr>
      <w:r>
        <w:rPr>
          <w:rFonts w:hint="eastAsia" w:ascii="宋体" w:hAnsi="宋体" w:cs="宋体"/>
          <w:b/>
          <w:bCs/>
          <w:sz w:val="24"/>
        </w:rPr>
        <w:t xml:space="preserve">绿色数据中心服务器及存储设备技术指标要求：</w:t>
      </w:r>
      <w:r/>
    </w:p>
    <w:tbl>
      <w:tblPr>
        <w:tblStyle w:val="878"/>
        <w:tblW w:w="8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570"/>
        <w:gridCol w:w="1482"/>
        <w:gridCol w:w="1683"/>
        <w:gridCol w:w="1273"/>
        <w:gridCol w:w="2861"/>
      </w:tblGrid>
      <w:tr>
        <w:trPr/>
        <w:tc>
          <w:tcPr>
            <w:shd w:val="clear" w:color="auto" w:fill="auto"/>
            <w:tcW w:w="525" w:type="dxa"/>
            <w:textDirection w:val="lrTb"/>
            <w:noWrap w:val="false"/>
          </w:tcPr>
          <w:p>
            <w:pPr>
              <w:jc w:val="cente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gridSpan w:val="3"/>
            <w:shd w:val="clear" w:color="auto" w:fill="d8d8d8"/>
            <w:tcW w:w="3735" w:type="dxa"/>
            <w:vAlign w:val="center"/>
            <w:textDirection w:val="lrTb"/>
            <w:noWrap w:val="false"/>
          </w:tcPr>
          <w:p>
            <w:pPr>
              <w:jc w:val="center"/>
              <w:spacing w:after="0" w:line="276"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指标</w:t>
            </w:r>
            <w:r/>
          </w:p>
        </w:tc>
        <w:tc>
          <w:tcPr>
            <w:shd w:val="clear" w:color="auto" w:fill="d8d8d8"/>
            <w:tcW w:w="1273" w:type="dxa"/>
            <w:vAlign w:val="center"/>
            <w:textDirection w:val="lrTb"/>
            <w:noWrap w:val="false"/>
          </w:tcPr>
          <w:p>
            <w:pPr>
              <w:jc w:val="center"/>
              <w:spacing w:after="0" w:line="276"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限制值</w:t>
            </w:r>
            <w:r/>
          </w:p>
        </w:tc>
        <w:tc>
          <w:tcPr>
            <w:shd w:val="clear" w:color="auto" w:fill="d8d8d8"/>
            <w:tcW w:w="2861" w:type="dxa"/>
            <w:vAlign w:val="center"/>
            <w:textDirection w:val="lrTb"/>
            <w:noWrap w:val="false"/>
          </w:tcPr>
          <w:p>
            <w:pPr>
              <w:jc w:val="center"/>
              <w:spacing w:after="0" w:line="276"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判定依据</w:t>
            </w:r>
            <w:r>
              <w:rPr>
                <w:rFonts w:ascii="Times New Roman" w:hAnsi="Times New Roman"/>
                <w:color w:val="000000" w:themeColor="text1"/>
                <w:szCs w:val="21"/>
                <w14:textFill>
                  <w14:solidFill>
                    <w14:schemeClr w14:val="tx1"/>
                  </w14:solidFill>
                </w14:textFill>
              </w:rPr>
              <w:t xml:space="preserve">/</w:t>
            </w:r>
            <w:r>
              <w:rPr>
                <w:rFonts w:hint="eastAsia" w:ascii="Times New Roman" w:hAnsi="Times New Roman"/>
                <w:color w:val="000000" w:themeColor="text1"/>
                <w:szCs w:val="21"/>
                <w14:textFill>
                  <w14:solidFill>
                    <w14:schemeClr w14:val="tx1"/>
                  </w14:solidFill>
                </w14:textFill>
              </w:rPr>
              <w:t xml:space="preserve">方法</w:t>
            </w:r>
            <w:r/>
          </w:p>
        </w:tc>
      </w:tr>
      <w:tr>
        <w:trPr>
          <w:trHeight w:val="611"/>
        </w:trPr>
        <w:tc>
          <w:tcPr>
            <w:shd w:val="clear" w:color="auto" w:fill="auto"/>
            <w:tcW w:w="525" w:type="dxa"/>
            <w:vAlign w:val="center"/>
            <w:textDirection w:val="lrTb"/>
            <w:noWrap w:val="false"/>
          </w:tcPr>
          <w:p>
            <w:pPr>
              <w:jc w:val="cente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1</w:t>
            </w:r>
            <w:r/>
          </w:p>
        </w:tc>
        <w:tc>
          <w:tcPr>
            <w:gridSpan w:val="3"/>
            <w:shd w:val="clear" w:color="auto" w:fill="auto"/>
            <w:tcW w:w="3735" w:type="dxa"/>
            <w:vAlign w:val="center"/>
            <w:textDirection w:val="lrTb"/>
            <w:noWrap w:val="false"/>
          </w:tcPr>
          <w:p>
            <w:pPr>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产品可再生利用率</w:t>
            </w:r>
            <w:r/>
          </w:p>
        </w:tc>
        <w:tc>
          <w:tcPr>
            <w:shd w:val="clear" w:color="auto" w:fill="auto"/>
            <w:tcW w:w="1273" w:type="dxa"/>
            <w:vAlign w:val="center"/>
            <w:textDirection w:val="lrTb"/>
            <w:noWrap w:val="false"/>
          </w:tcPr>
          <w:p>
            <w:pPr>
              <w:jc w:val="both"/>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80%</w:t>
            </w:r>
            <w:r/>
          </w:p>
        </w:tc>
        <w:tc>
          <w:tcPr>
            <w:shd w:val="clear" w:color="auto" w:fill="auto"/>
            <w:tcW w:w="2861" w:type="dxa"/>
            <w:vAlign w:val="center"/>
            <w:textDirection w:val="lrTb"/>
            <w:noWrap w:val="false"/>
          </w:tcPr>
          <w:p>
            <w:pPr>
              <w:pStyle w:val="930"/>
              <w:ind w:left="0" w:firstLine="0"/>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根据GB/T 32355.2及附录C要求进行判定</w:t>
            </w:r>
            <w:r/>
          </w:p>
        </w:tc>
      </w:tr>
      <w:tr>
        <w:trPr>
          <w:trHeight w:val="85"/>
        </w:trPr>
        <w:tc>
          <w:tcPr>
            <w:shd w:val="clear" w:color="auto" w:fill="auto"/>
            <w:tcW w:w="525" w:type="dxa"/>
            <w:vAlign w:val="center"/>
            <w:vMerge w:val="restart"/>
            <w:textDirection w:val="lrTb"/>
            <w:noWrap w:val="false"/>
          </w:tcPr>
          <w:p>
            <w:pPr>
              <w:jc w:val="center"/>
              <w:spacing w:after="0" w:line="276"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2</w:t>
            </w:r>
            <w:r/>
          </w:p>
        </w:tc>
        <w:tc>
          <w:tcPr>
            <w:shd w:val="clear" w:color="auto" w:fill="auto"/>
            <w:tcW w:w="570" w:type="dxa"/>
            <w:vAlign w:val="center"/>
            <w:vMerge w:val="restart"/>
            <w:textDirection w:val="lrTb"/>
            <w:noWrap w:val="false"/>
          </w:tcPr>
          <w:p>
            <w:pPr>
              <w:pStyle w:val="930"/>
              <w:ind w:firstLine="0"/>
              <w:jc w:val="center"/>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供电模块效率</w:t>
            </w:r>
            <w:r/>
          </w:p>
        </w:tc>
        <w:tc>
          <w:tcPr>
            <w:shd w:val="clear" w:color="auto" w:fill="auto"/>
            <w:tcW w:w="1482" w:type="dxa"/>
            <w:vAlign w:val="center"/>
            <w:vMerge w:val="restart"/>
            <w:textDirection w:val="lrTb"/>
            <w:noWrap w:val="false"/>
          </w:tcPr>
          <w:p>
            <w:pPr>
              <w:pStyle w:val="930"/>
              <w:ind w:left="0" w:firstLine="0"/>
              <w:spacing w:after="0" w:line="276" w:lineRule="auto"/>
              <w:rPr>
                <w:rFonts w:ascii="宋体" w:hAnsi="宋体" w:cs="宋体"/>
                <w:i/>
                <w:iCs/>
                <w:color w:val="000000"/>
                <w:szCs w:val="21"/>
                <w:u w:val="single"/>
              </w:rPr>
            </w:pPr>
            <w:r>
              <w:rPr>
                <w:rFonts w:ascii="宋体" w:hAnsi="宋体" w:cs="宋体"/>
                <w:i/>
                <w:iCs/>
                <w:color w:val="000000"/>
                <w:szCs w:val="21"/>
                <w:u w:val="single"/>
              </w:rPr>
              <w:t xml:space="preserve">20%</w:t>
            </w:r>
            <w:r>
              <w:rPr>
                <w:rFonts w:hint="eastAsia" w:ascii="宋体" w:hAnsi="宋体" w:cs="宋体"/>
                <w:i/>
                <w:iCs/>
                <w:color w:val="000000"/>
                <w:szCs w:val="21"/>
                <w:u w:val="single"/>
              </w:rPr>
              <w:t xml:space="preserve">负载率</w:t>
            </w:r>
            <w:r/>
          </w:p>
        </w:tc>
        <w:tc>
          <w:tcPr>
            <w:shd w:val="clear" w:color="auto" w:fill="auto"/>
            <w:tcW w:w="168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电源效率</w:t>
            </w:r>
            <w:r/>
          </w:p>
        </w:tc>
        <w:tc>
          <w:tcPr>
            <w:shd w:val="clear" w:color="auto" w:fill="auto"/>
            <w:tcW w:w="127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90%</w:t>
            </w:r>
            <w:r/>
          </w:p>
        </w:tc>
        <w:tc>
          <w:tcPr>
            <w:shd w:val="clear" w:color="auto" w:fill="auto"/>
            <w:tcW w:w="2861" w:type="dxa"/>
            <w:vAlign w:val="center"/>
            <w:vMerge w:val="restart"/>
            <w:textDirection w:val="lrTb"/>
            <w:noWrap w:val="false"/>
          </w:tcPr>
          <w:p>
            <w:pPr>
              <w:pStyle w:val="930"/>
              <w:ind w:left="0" w:firstLine="0"/>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检测方法按照HJ 2507附录B要求执行</w:t>
            </w:r>
            <w:r/>
          </w:p>
        </w:tc>
      </w:tr>
      <w:tr>
        <w:trPr>
          <w:trHeight w:val="85"/>
        </w:trPr>
        <w:tc>
          <w:tcPr>
            <w:shd w:val="clear" w:color="auto" w:fill="auto"/>
            <w:tcW w:w="525" w:type="dxa"/>
            <w:vAlign w:val="center"/>
            <w:vMerge w:val="continue"/>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shd w:val="clear" w:color="auto" w:fill="auto"/>
            <w:tcW w:w="570" w:type="dxa"/>
            <w:vAlign w:val="center"/>
            <w:vMerge w:val="continue"/>
            <w:textDirection w:val="lrTb"/>
            <w:noWrap w:val="false"/>
          </w:tcPr>
          <w:p>
            <w:pPr>
              <w:pStyle w:val="930"/>
              <w:ind w:firstLine="0"/>
              <w:spacing w:after="0" w:line="276" w:lineRule="auto"/>
              <w:rPr>
                <w:rFonts w:ascii="宋体" w:hAnsi="宋体" w:cs="宋体"/>
                <w:i/>
                <w:iCs/>
                <w:color w:val="000000"/>
                <w:szCs w:val="21"/>
                <w:u w:val="single"/>
              </w:rPr>
            </w:pPr>
            <w:r>
              <w:rPr>
                <w:rFonts w:ascii="宋体" w:hAnsi="宋体" w:cs="宋体"/>
                <w:i/>
                <w:iCs/>
                <w:color w:val="000000"/>
                <w:szCs w:val="21"/>
                <w:u w:val="single"/>
              </w:rPr>
            </w:r>
            <w:r/>
          </w:p>
        </w:tc>
        <w:tc>
          <w:tcPr>
            <w:shd w:val="clear" w:color="auto" w:fill="auto"/>
            <w:tcW w:w="1482" w:type="dxa"/>
            <w:vAlign w:val="center"/>
            <w:vMerge w:val="continue"/>
            <w:textDirection w:val="lrTb"/>
            <w:noWrap w:val="false"/>
          </w:tcPr>
          <w:p>
            <w:pPr>
              <w:pStyle w:val="930"/>
              <w:ind w:firstLine="0"/>
              <w:spacing w:after="0" w:line="276" w:lineRule="auto"/>
              <w:rPr>
                <w:rFonts w:ascii="宋体" w:hAnsi="宋体" w:cs="宋体"/>
                <w:i/>
                <w:iCs/>
                <w:color w:val="000000"/>
                <w:szCs w:val="21"/>
                <w:u w:val="single"/>
              </w:rPr>
            </w:pPr>
            <w:r>
              <w:rPr>
                <w:rFonts w:ascii="宋体" w:hAnsi="宋体" w:cs="宋体"/>
                <w:i/>
                <w:iCs/>
                <w:color w:val="000000"/>
                <w:szCs w:val="21"/>
                <w:u w:val="single"/>
              </w:rPr>
            </w:r>
            <w:r/>
          </w:p>
        </w:tc>
        <w:tc>
          <w:tcPr>
            <w:shd w:val="clear" w:color="auto" w:fill="auto"/>
            <w:tcW w:w="168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功率因数（</w:t>
            </w:r>
            <w:r>
              <w:rPr>
                <w:rFonts w:ascii="宋体" w:hAnsi="宋体" w:cs="宋体"/>
                <w:i/>
                <w:iCs/>
                <w:color w:val="000000"/>
                <w:szCs w:val="21"/>
                <w:u w:val="single"/>
              </w:rPr>
              <w:t xml:space="preserve">PF</w:t>
            </w:r>
            <w:r>
              <w:rPr>
                <w:rFonts w:hint="eastAsia" w:ascii="宋体" w:hAnsi="宋体" w:cs="宋体"/>
                <w:i/>
                <w:iCs/>
                <w:color w:val="000000"/>
                <w:szCs w:val="21"/>
                <w:u w:val="single"/>
              </w:rPr>
              <w:t xml:space="preserve">）</w:t>
            </w:r>
            <w:r/>
          </w:p>
        </w:tc>
        <w:tc>
          <w:tcPr>
            <w:shd w:val="clear" w:color="auto" w:fill="auto"/>
            <w:tcW w:w="127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0.95</w:t>
            </w:r>
            <w:r/>
          </w:p>
        </w:tc>
        <w:tc>
          <w:tcPr>
            <w:shd w:val="clear" w:color="auto" w:fill="auto"/>
            <w:tcW w:w="2861" w:type="dxa"/>
            <w:vAlign w:val="center"/>
            <w:vMerge w:val="continue"/>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r>
      <w:tr>
        <w:trPr>
          <w:trHeight w:val="85"/>
        </w:trPr>
        <w:tc>
          <w:tcPr>
            <w:shd w:val="clear" w:color="auto" w:fill="auto"/>
            <w:tcW w:w="525" w:type="dxa"/>
            <w:vAlign w:val="center"/>
            <w:vMerge w:val="continue"/>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shd w:val="clear" w:color="auto" w:fill="auto"/>
            <w:tcW w:w="570" w:type="dxa"/>
            <w:vAlign w:val="center"/>
            <w:vMerge w:val="continue"/>
            <w:textDirection w:val="lrTb"/>
            <w:noWrap w:val="false"/>
          </w:tcPr>
          <w:p>
            <w:pPr>
              <w:pStyle w:val="930"/>
              <w:ind w:firstLine="0"/>
              <w:spacing w:after="0" w:line="276" w:lineRule="auto"/>
              <w:rPr>
                <w:rFonts w:ascii="宋体" w:hAnsi="宋体" w:cs="宋体"/>
                <w:i/>
                <w:iCs/>
                <w:color w:val="000000"/>
                <w:szCs w:val="21"/>
                <w:u w:val="single"/>
              </w:rPr>
            </w:pPr>
            <w:r>
              <w:rPr>
                <w:rFonts w:ascii="宋体" w:hAnsi="宋体" w:cs="宋体"/>
                <w:i/>
                <w:iCs/>
                <w:color w:val="000000"/>
                <w:szCs w:val="21"/>
                <w:u w:val="single"/>
              </w:rPr>
            </w:r>
            <w:r/>
          </w:p>
        </w:tc>
        <w:tc>
          <w:tcPr>
            <w:shd w:val="clear" w:color="auto" w:fill="auto"/>
            <w:tcW w:w="1482" w:type="dxa"/>
            <w:vAlign w:val="center"/>
            <w:vMerge w:val="restart"/>
            <w:textDirection w:val="lrTb"/>
            <w:noWrap w:val="false"/>
          </w:tcPr>
          <w:p>
            <w:pPr>
              <w:pStyle w:val="930"/>
              <w:ind w:left="0" w:firstLine="0"/>
              <w:spacing w:after="0" w:line="276" w:lineRule="auto"/>
              <w:rPr>
                <w:rFonts w:ascii="宋体" w:hAnsi="宋体" w:cs="宋体"/>
                <w:i/>
                <w:iCs/>
                <w:color w:val="000000"/>
                <w:szCs w:val="21"/>
                <w:u w:val="single"/>
              </w:rPr>
            </w:pPr>
            <w:r>
              <w:rPr>
                <w:rFonts w:ascii="宋体" w:hAnsi="宋体" w:cs="宋体"/>
                <w:i/>
                <w:iCs/>
                <w:color w:val="000000"/>
                <w:szCs w:val="21"/>
                <w:u w:val="single"/>
              </w:rPr>
              <w:t xml:space="preserve">50%</w:t>
            </w:r>
            <w:r>
              <w:rPr>
                <w:rFonts w:hint="eastAsia" w:ascii="宋体" w:hAnsi="宋体" w:cs="宋体"/>
                <w:i/>
                <w:iCs/>
                <w:color w:val="000000"/>
                <w:szCs w:val="21"/>
                <w:u w:val="single"/>
              </w:rPr>
              <w:t xml:space="preserve">负载率</w:t>
            </w:r>
            <w:r/>
          </w:p>
        </w:tc>
        <w:tc>
          <w:tcPr>
            <w:shd w:val="clear" w:color="auto" w:fill="auto"/>
            <w:tcW w:w="168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电源效率</w:t>
            </w:r>
            <w:r/>
          </w:p>
        </w:tc>
        <w:tc>
          <w:tcPr>
            <w:shd w:val="clear" w:color="auto" w:fill="auto"/>
            <w:tcW w:w="127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94%</w:t>
            </w:r>
            <w:r/>
          </w:p>
        </w:tc>
        <w:tc>
          <w:tcPr>
            <w:shd w:val="clear" w:color="auto" w:fill="auto"/>
            <w:tcW w:w="2861" w:type="dxa"/>
            <w:vAlign w:val="center"/>
            <w:vMerge w:val="continue"/>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r>
      <w:tr>
        <w:trPr>
          <w:trHeight w:val="85"/>
        </w:trPr>
        <w:tc>
          <w:tcPr>
            <w:shd w:val="clear" w:color="auto" w:fill="auto"/>
            <w:tcW w:w="525" w:type="dxa"/>
            <w:vAlign w:val="center"/>
            <w:vMerge w:val="continue"/>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shd w:val="clear" w:color="auto" w:fill="auto"/>
            <w:tcW w:w="570" w:type="dxa"/>
            <w:vAlign w:val="center"/>
            <w:vMerge w:val="continue"/>
            <w:textDirection w:val="lrTb"/>
            <w:noWrap w:val="false"/>
          </w:tcPr>
          <w:p>
            <w:pPr>
              <w:pStyle w:val="930"/>
              <w:ind w:firstLine="0"/>
              <w:spacing w:after="0" w:line="276" w:lineRule="auto"/>
              <w:rPr>
                <w:rFonts w:ascii="宋体" w:hAnsi="宋体" w:cs="宋体"/>
                <w:i/>
                <w:iCs/>
                <w:color w:val="000000"/>
                <w:szCs w:val="21"/>
                <w:u w:val="single"/>
              </w:rPr>
            </w:pPr>
            <w:r>
              <w:rPr>
                <w:rFonts w:ascii="宋体" w:hAnsi="宋体" w:cs="宋体"/>
                <w:i/>
                <w:iCs/>
                <w:color w:val="000000"/>
                <w:szCs w:val="21"/>
                <w:u w:val="single"/>
              </w:rPr>
            </w:r>
            <w:r/>
          </w:p>
        </w:tc>
        <w:tc>
          <w:tcPr>
            <w:shd w:val="clear" w:color="auto" w:fill="auto"/>
            <w:tcW w:w="1482" w:type="dxa"/>
            <w:vAlign w:val="center"/>
            <w:vMerge w:val="continue"/>
            <w:textDirection w:val="lrTb"/>
            <w:noWrap w:val="false"/>
          </w:tcPr>
          <w:p>
            <w:pPr>
              <w:pStyle w:val="930"/>
              <w:ind w:firstLine="0"/>
              <w:spacing w:after="0" w:line="276" w:lineRule="auto"/>
              <w:rPr>
                <w:rFonts w:ascii="宋体" w:hAnsi="宋体" w:cs="宋体"/>
                <w:i/>
                <w:iCs/>
                <w:color w:val="000000"/>
                <w:szCs w:val="21"/>
                <w:u w:val="single"/>
              </w:rPr>
            </w:pPr>
            <w:r>
              <w:rPr>
                <w:rFonts w:ascii="宋体" w:hAnsi="宋体" w:cs="宋体"/>
                <w:i/>
                <w:iCs/>
                <w:color w:val="000000"/>
                <w:szCs w:val="21"/>
                <w:u w:val="single"/>
              </w:rPr>
            </w:r>
            <w:r/>
          </w:p>
        </w:tc>
        <w:tc>
          <w:tcPr>
            <w:shd w:val="clear" w:color="auto" w:fill="auto"/>
            <w:tcW w:w="168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功率因数（</w:t>
            </w:r>
            <w:r>
              <w:rPr>
                <w:rFonts w:ascii="宋体" w:hAnsi="宋体" w:cs="宋体"/>
                <w:i/>
                <w:iCs/>
                <w:color w:val="000000"/>
                <w:szCs w:val="21"/>
                <w:u w:val="single"/>
              </w:rPr>
              <w:t xml:space="preserve">PF</w:t>
            </w:r>
            <w:r>
              <w:rPr>
                <w:rFonts w:hint="eastAsia" w:ascii="宋体" w:hAnsi="宋体" w:cs="宋体"/>
                <w:i/>
                <w:iCs/>
                <w:color w:val="000000"/>
                <w:szCs w:val="21"/>
                <w:u w:val="single"/>
              </w:rPr>
              <w:t xml:space="preserve">）</w:t>
            </w:r>
            <w:r/>
          </w:p>
        </w:tc>
        <w:tc>
          <w:tcPr>
            <w:shd w:val="clear" w:color="auto" w:fill="auto"/>
            <w:tcW w:w="127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0.95</w:t>
            </w:r>
            <w:r/>
          </w:p>
        </w:tc>
        <w:tc>
          <w:tcPr>
            <w:shd w:val="clear" w:color="auto" w:fill="auto"/>
            <w:tcW w:w="2861" w:type="dxa"/>
            <w:vAlign w:val="center"/>
            <w:vMerge w:val="continue"/>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r>
      <w:tr>
        <w:trPr>
          <w:trHeight w:val="85"/>
        </w:trPr>
        <w:tc>
          <w:tcPr>
            <w:shd w:val="clear" w:color="auto" w:fill="auto"/>
            <w:tcW w:w="525" w:type="dxa"/>
            <w:vAlign w:val="center"/>
            <w:vMerge w:val="continue"/>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shd w:val="clear" w:color="auto" w:fill="auto"/>
            <w:tcW w:w="570" w:type="dxa"/>
            <w:vAlign w:val="center"/>
            <w:vMerge w:val="continue"/>
            <w:textDirection w:val="lrTb"/>
            <w:noWrap w:val="false"/>
          </w:tcPr>
          <w:p>
            <w:pPr>
              <w:pStyle w:val="930"/>
              <w:ind w:firstLine="0"/>
              <w:spacing w:after="0" w:line="276" w:lineRule="auto"/>
              <w:rPr>
                <w:rFonts w:ascii="宋体" w:hAnsi="宋体" w:cs="宋体"/>
                <w:i/>
                <w:iCs/>
                <w:color w:val="000000"/>
                <w:szCs w:val="21"/>
                <w:u w:val="single"/>
              </w:rPr>
            </w:pPr>
            <w:r>
              <w:rPr>
                <w:rFonts w:ascii="宋体" w:hAnsi="宋体" w:cs="宋体"/>
                <w:i/>
                <w:iCs/>
                <w:color w:val="000000"/>
                <w:szCs w:val="21"/>
                <w:u w:val="single"/>
              </w:rPr>
            </w:r>
            <w:r/>
          </w:p>
        </w:tc>
        <w:tc>
          <w:tcPr>
            <w:shd w:val="clear" w:color="auto" w:fill="auto"/>
            <w:tcW w:w="1482" w:type="dxa"/>
            <w:vAlign w:val="center"/>
            <w:vMerge w:val="restart"/>
            <w:textDirection w:val="lrTb"/>
            <w:noWrap w:val="false"/>
          </w:tcPr>
          <w:p>
            <w:pPr>
              <w:pStyle w:val="930"/>
              <w:ind w:left="0" w:firstLine="0"/>
              <w:spacing w:after="0" w:line="276" w:lineRule="auto"/>
              <w:rPr>
                <w:rFonts w:ascii="宋体" w:hAnsi="宋体" w:cs="宋体"/>
                <w:i/>
                <w:iCs/>
                <w:color w:val="000000"/>
                <w:szCs w:val="21"/>
                <w:u w:val="single"/>
              </w:rPr>
            </w:pPr>
            <w:r>
              <w:rPr>
                <w:rFonts w:ascii="宋体" w:hAnsi="宋体" w:cs="宋体"/>
                <w:i/>
                <w:iCs/>
                <w:color w:val="000000"/>
                <w:szCs w:val="21"/>
                <w:u w:val="single"/>
              </w:rPr>
              <w:t xml:space="preserve">100%</w:t>
            </w:r>
            <w:r>
              <w:rPr>
                <w:rFonts w:hint="eastAsia" w:ascii="宋体" w:hAnsi="宋体" w:cs="宋体"/>
                <w:i/>
                <w:iCs/>
                <w:color w:val="000000"/>
                <w:szCs w:val="21"/>
                <w:u w:val="single"/>
              </w:rPr>
              <w:t xml:space="preserve">负载率</w:t>
            </w:r>
            <w:r/>
          </w:p>
        </w:tc>
        <w:tc>
          <w:tcPr>
            <w:shd w:val="clear" w:color="auto" w:fill="auto"/>
            <w:tcW w:w="168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电源效率</w:t>
            </w:r>
            <w:r/>
          </w:p>
        </w:tc>
        <w:tc>
          <w:tcPr>
            <w:shd w:val="clear" w:color="auto" w:fill="auto"/>
            <w:tcW w:w="127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91%</w:t>
            </w:r>
            <w:r/>
          </w:p>
        </w:tc>
        <w:tc>
          <w:tcPr>
            <w:shd w:val="clear" w:color="auto" w:fill="auto"/>
            <w:tcW w:w="2861" w:type="dxa"/>
            <w:vAlign w:val="center"/>
            <w:vMerge w:val="continue"/>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r>
      <w:tr>
        <w:trPr>
          <w:trHeight w:val="85"/>
        </w:trPr>
        <w:tc>
          <w:tcPr>
            <w:shd w:val="clear" w:color="auto" w:fill="auto"/>
            <w:tcW w:w="525" w:type="dxa"/>
            <w:vAlign w:val="center"/>
            <w:vMerge w:val="continue"/>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shd w:val="clear" w:color="auto" w:fill="auto"/>
            <w:tcW w:w="570" w:type="dxa"/>
            <w:vAlign w:val="center"/>
            <w:vMerge w:val="continue"/>
            <w:textDirection w:val="lrTb"/>
            <w:noWrap w:val="false"/>
          </w:tcPr>
          <w:p>
            <w:pPr>
              <w:pStyle w:val="930"/>
              <w:ind w:firstLine="0"/>
              <w:spacing w:after="0" w:line="276" w:lineRule="auto"/>
              <w:rPr>
                <w:rFonts w:ascii="宋体" w:hAnsi="宋体" w:cs="宋体"/>
                <w:i/>
                <w:iCs/>
                <w:color w:val="000000"/>
                <w:szCs w:val="21"/>
                <w:u w:val="single"/>
              </w:rPr>
            </w:pPr>
            <w:r>
              <w:rPr>
                <w:rFonts w:ascii="宋体" w:hAnsi="宋体" w:cs="宋体"/>
                <w:i/>
                <w:iCs/>
                <w:color w:val="000000"/>
                <w:szCs w:val="21"/>
                <w:u w:val="single"/>
              </w:rPr>
            </w:r>
            <w:r/>
          </w:p>
        </w:tc>
        <w:tc>
          <w:tcPr>
            <w:shd w:val="clear" w:color="auto" w:fill="auto"/>
            <w:tcW w:w="1482" w:type="dxa"/>
            <w:vAlign w:val="center"/>
            <w:vMerge w:val="continue"/>
            <w:textDirection w:val="lrTb"/>
            <w:noWrap w:val="false"/>
          </w:tcPr>
          <w:p>
            <w:pPr>
              <w:pStyle w:val="930"/>
              <w:ind w:firstLine="0"/>
              <w:spacing w:after="0" w:line="276" w:lineRule="auto"/>
              <w:rPr>
                <w:rFonts w:ascii="宋体" w:hAnsi="宋体" w:cs="宋体"/>
                <w:i/>
                <w:iCs/>
                <w:color w:val="000000"/>
                <w:szCs w:val="21"/>
                <w:u w:val="single"/>
              </w:rPr>
            </w:pPr>
            <w:r>
              <w:rPr>
                <w:rFonts w:ascii="宋体" w:hAnsi="宋体" w:cs="宋体"/>
                <w:i/>
                <w:iCs/>
                <w:color w:val="000000"/>
                <w:szCs w:val="21"/>
                <w:u w:val="single"/>
              </w:rPr>
            </w:r>
            <w:r/>
          </w:p>
        </w:tc>
        <w:tc>
          <w:tcPr>
            <w:shd w:val="clear" w:color="auto" w:fill="auto"/>
            <w:tcW w:w="168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功率因数（</w:t>
            </w:r>
            <w:r>
              <w:rPr>
                <w:rFonts w:ascii="宋体" w:hAnsi="宋体" w:cs="宋体"/>
                <w:i/>
                <w:iCs/>
                <w:color w:val="000000"/>
                <w:szCs w:val="21"/>
                <w:u w:val="single"/>
              </w:rPr>
              <w:t xml:space="preserve">PF</w:t>
            </w:r>
            <w:r>
              <w:rPr>
                <w:rFonts w:hint="eastAsia" w:ascii="宋体" w:hAnsi="宋体" w:cs="宋体"/>
                <w:i/>
                <w:iCs/>
                <w:color w:val="000000"/>
                <w:szCs w:val="21"/>
                <w:u w:val="single"/>
              </w:rPr>
              <w:t xml:space="preserve">）</w:t>
            </w:r>
            <w:r/>
          </w:p>
        </w:tc>
        <w:tc>
          <w:tcPr>
            <w:shd w:val="clear" w:color="auto" w:fill="auto"/>
            <w:tcW w:w="1273"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0.95</w:t>
            </w:r>
            <w:r/>
          </w:p>
        </w:tc>
        <w:tc>
          <w:tcPr>
            <w:shd w:val="clear" w:color="auto" w:fill="auto"/>
            <w:tcW w:w="2861" w:type="dxa"/>
            <w:vAlign w:val="center"/>
            <w:vMerge w:val="continue"/>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r>
    </w:tbl>
    <w:p>
      <w:pPr>
        <w:spacing w:after="0"/>
        <w:rPr>
          <w:rFonts w:hint="eastAsia" w:asciiTheme="minorEastAsia" w:hAnsiTheme="minorEastAsia"/>
          <w:i/>
          <w:iCs/>
          <w:sz w:val="24"/>
          <w:u w:val="single"/>
        </w:rPr>
      </w:pPr>
      <w:r>
        <w:rPr>
          <w:rFonts w:hint="eastAsia" w:asciiTheme="minorEastAsia" w:hAnsiTheme="minorEastAsia"/>
          <w:i/>
          <w:iCs/>
          <w:sz w:val="24"/>
          <w:u w:val="single"/>
        </w:rPr>
        <w:t xml:space="preserve">合规性验证方式：查验数据中心提供的第三方检测报告或第三方认证证书。</w:t>
      </w:r>
      <w:r/>
    </w:p>
    <w:p>
      <w:pPr>
        <w:ind w:firstLine="482"/>
        <w:jc w:val="left"/>
        <w:spacing w:line="520" w:lineRule="exact"/>
      </w:pPr>
      <w:r>
        <w:rPr>
          <w:rFonts w:hint="eastAsia" w:ascii="宋体" w:hAnsi="宋体" w:cs="宋体"/>
          <w:b/>
          <w:bCs/>
          <w:sz w:val="24"/>
        </w:rPr>
        <w:t xml:space="preserve">绿色数据中心以太网交换机技术指标要求</w:t>
      </w:r>
      <w:r/>
    </w:p>
    <w:tbl>
      <w:tblPr>
        <w:tblStyle w:val="87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2013"/>
        <w:gridCol w:w="18"/>
        <w:gridCol w:w="1684"/>
        <w:gridCol w:w="1410"/>
        <w:gridCol w:w="2825"/>
      </w:tblGrid>
      <w:tr>
        <w:trPr>
          <w:jc w:val="center"/>
        </w:trPr>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pStyle w:val="930"/>
              <w:contextualSpacing w:val="0"/>
              <w:ind w:left="0" w:firstLine="0"/>
              <w:jc w:val="both"/>
              <w:spacing w:after="0" w:line="276" w:lineRule="auto"/>
              <w:widowControl w:val="off"/>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r>
            <w:r/>
          </w:p>
        </w:tc>
        <w:tc>
          <w:tcPr>
            <w:gridSpan w:val="3"/>
            <w:shd w:val="clear" w:color="auto" w:fill="d8d8d8"/>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pStyle w:val="930"/>
              <w:ind w:firstLine="0"/>
              <w:jc w:val="center"/>
              <w:spacing w:after="0" w:line="276" w:lineRule="auto"/>
              <w:rPr>
                <w:color w:val="000000" w:themeColor="text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指标</w:t>
            </w:r>
            <w:r/>
          </w:p>
        </w:tc>
        <w:tc>
          <w:tcPr>
            <w:shd w:val="clear" w:color="auto" w:fill="d8d8d8"/>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210"/>
              <w:jc w:val="both"/>
              <w:spacing w:after="0" w:line="276"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限制值</w:t>
            </w:r>
            <w:r/>
          </w:p>
        </w:tc>
        <w:tc>
          <w:tcPr>
            <w:shd w:val="clear" w:color="auto" w:fill="d8d8d8"/>
            <w:tcBorders>
              <w:top w:val="single" w:color="auto" w:sz="4" w:space="0"/>
              <w:left w:val="single" w:color="auto" w:sz="4" w:space="0"/>
              <w:bottom w:val="single" w:color="auto" w:sz="4" w:space="0"/>
              <w:right w:val="single" w:color="auto" w:sz="4" w:space="0"/>
            </w:tcBorders>
            <w:tcW w:w="2825" w:type="dxa"/>
            <w:vAlign w:val="center"/>
            <w:textDirection w:val="lrTb"/>
            <w:noWrap w:val="false"/>
          </w:tcPr>
          <w:p>
            <w:pPr>
              <w:pStyle w:val="930"/>
              <w:ind w:firstLine="0"/>
              <w:jc w:val="center"/>
              <w:spacing w:after="0" w:line="276"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判定依据</w:t>
            </w:r>
            <w:r>
              <w:rPr>
                <w:rFonts w:ascii="Times New Roman" w:hAnsi="Times New Roman"/>
                <w:color w:val="000000" w:themeColor="text1"/>
                <w:szCs w:val="21"/>
                <w14:textFill>
                  <w14:solidFill>
                    <w14:schemeClr w14:val="tx1"/>
                  </w14:solidFill>
                </w14:textFill>
              </w:rPr>
              <w:t xml:space="preserve">/</w:t>
            </w:r>
            <w:r>
              <w:rPr>
                <w:rFonts w:hint="eastAsia" w:ascii="Times New Roman" w:hAnsi="Times New Roman"/>
                <w:color w:val="000000" w:themeColor="text1"/>
                <w:szCs w:val="21"/>
                <w14:textFill>
                  <w14:solidFill>
                    <w14:schemeClr w14:val="tx1"/>
                  </w14:solidFill>
                </w14:textFill>
              </w:rPr>
              <w:t xml:space="preserve">方法</w:t>
            </w:r>
            <w:r/>
          </w:p>
        </w:tc>
      </w:tr>
      <w:tr>
        <w:trPr>
          <w:jc w:val="center"/>
        </w:trPr>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spacing w:after="0" w:line="276" w:lineRule="auto"/>
              <w:rPr>
                <w:rFonts w:ascii="宋体" w:hAnsi="宋体" w:cs="宋体"/>
                <w:color w:val="000000" w:themeColor="text1"/>
                <w:sz w:val="18"/>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1</w:t>
            </w:r>
            <w:r/>
          </w:p>
        </w:tc>
        <w:tc>
          <w:tcPr>
            <w:gridSpan w:val="3"/>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固定端口以太网交换机能效比值（</w:t>
            </w:r>
            <w:r>
              <w:rPr>
                <w:rFonts w:ascii="宋体" w:hAnsi="宋体" w:cs="宋体"/>
                <w:i/>
                <w:iCs/>
                <w:color w:val="000000"/>
                <w:szCs w:val="21"/>
                <w:u w:val="single"/>
              </w:rPr>
              <w:t xml:space="preserve">TEER</w:t>
            </w:r>
            <w:r>
              <w:rPr>
                <w:rFonts w:hint="eastAsia" w:ascii="宋体" w:hAnsi="宋体" w:cs="宋体"/>
                <w:i/>
                <w:iCs/>
                <w:color w:val="000000"/>
                <w:szCs w:val="21"/>
                <w:u w:val="single"/>
              </w:rPr>
              <w:t xml:space="preserve">）</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300</w:t>
            </w:r>
            <w:r/>
          </w:p>
        </w:tc>
        <w:tc>
          <w:tcPr>
            <w:tcBorders>
              <w:top w:val="single" w:color="auto" w:sz="4" w:space="0"/>
              <w:left w:val="single" w:color="auto" w:sz="4" w:space="0"/>
              <w:bottom w:val="single" w:color="auto" w:sz="4" w:space="0"/>
              <w:right w:val="single" w:color="auto" w:sz="4" w:space="0"/>
            </w:tcBorders>
            <w:tcW w:w="2825" w:type="dxa"/>
            <w:vAlign w:val="center"/>
            <w:textDirection w:val="lrTb"/>
            <w:noWrap w:val="false"/>
          </w:tcPr>
          <w:p>
            <w:pPr>
              <w:pStyle w:val="930"/>
              <w:ind w:left="0" w:firstLine="0"/>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检测方法依据附录E中要求</w:t>
            </w:r>
            <w:r/>
          </w:p>
        </w:tc>
      </w:tr>
      <w:tr>
        <w:trPr>
          <w:jc w:val="center"/>
        </w:trPr>
        <w:tc>
          <w:tcPr>
            <w:tcBorders>
              <w:top w:val="single" w:color="auto" w:sz="4" w:space="0"/>
              <w:left w:val="single" w:color="auto" w:sz="4" w:space="0"/>
              <w:bottom w:val="single" w:color="auto" w:sz="4" w:space="0"/>
              <w:right w:val="single" w:color="auto" w:sz="4" w:space="0"/>
            </w:tcBorders>
            <w:tcW w:w="555" w:type="dxa"/>
            <w:vAlign w:val="center"/>
            <w:vMerge w:val="restart"/>
            <w:textDirection w:val="lrTb"/>
            <w:noWrap w:val="false"/>
          </w:tcPr>
          <w:p>
            <w:pPr>
              <w:jc w:val="center"/>
              <w:spacing w:after="0" w:line="276" w:lineRule="auto"/>
              <w:rPr>
                <w:rFonts w:ascii="宋体" w:hAnsi="宋体"/>
                <w:color w:val="000000" w:themeColor="text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2031" w:type="dxa"/>
            <w:vAlign w:val="center"/>
            <w:vMerge w:val="restart"/>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单路电源输出效率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ascii="宋体" w:hAnsi="宋体" w:cs="宋体"/>
                <w:i/>
                <w:iCs/>
                <w:color w:val="000000"/>
                <w:szCs w:val="21"/>
                <w:u w:val="single"/>
              </w:rPr>
              <w:t xml:space="preserve">20%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88%</w:t>
            </w:r>
            <w:r/>
          </w:p>
        </w:tc>
        <w:tc>
          <w:tcPr>
            <w:tcBorders>
              <w:top w:val="single" w:color="auto" w:sz="4" w:space="0"/>
              <w:left w:val="single" w:color="auto" w:sz="4" w:space="0"/>
              <w:bottom w:val="single" w:color="auto" w:sz="4" w:space="0"/>
              <w:right w:val="single" w:color="auto" w:sz="4" w:space="0"/>
            </w:tcBorders>
            <w:tcW w:w="2825" w:type="dxa"/>
            <w:vAlign w:val="center"/>
            <w:vMerge w:val="restart"/>
            <w:textDirection w:val="lrTb"/>
            <w:noWrap w:val="false"/>
          </w:tcPr>
          <w:p>
            <w:pPr>
              <w:pStyle w:val="930"/>
              <w:ind w:left="0" w:firstLine="0"/>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检测方法依据HJ 2507附录B要求</w:t>
            </w:r>
            <w:r/>
          </w:p>
        </w:tc>
      </w:tr>
      <w:tr>
        <w:trPr>
          <w:jc w:val="center"/>
          <w:trHeight w:val="544"/>
        </w:trPr>
        <w:tc>
          <w:tcPr>
            <w:tcBorders>
              <w:top w:val="single" w:color="auto" w:sz="4" w:space="0"/>
              <w:left w:val="single" w:color="auto" w:sz="4" w:space="0"/>
              <w:bottom w:val="single" w:color="auto" w:sz="4" w:space="0"/>
              <w:right w:val="single" w:color="auto" w:sz="4" w:space="0"/>
            </w:tcBorders>
            <w:tcW w:w="555" w:type="dxa"/>
            <w:vAlign w:val="center"/>
            <w:vMerge w:val="continue"/>
            <w:textDirection w:val="lrTb"/>
            <w:noWrap w:val="false"/>
          </w:tcPr>
          <w:p>
            <w:pPr>
              <w:jc w:val="left"/>
              <w:spacing w:after="0"/>
              <w:rPr>
                <w:rFonts w:ascii="宋体" w:hAnsi="宋体" w:cs="宋体"/>
                <w:color w:val="000000" w:themeColor="text1"/>
                <w:sz w:val="18"/>
                <w14:textFill>
                  <w14:solidFill>
                    <w14:schemeClr w14:val="tx1"/>
                  </w14:solidFill>
                </w14:textFill>
              </w:rPr>
            </w:pPr>
            <w:r>
              <w:rPr>
                <w:rFonts w:ascii="宋体" w:hAnsi="宋体" w:cs="宋体"/>
                <w:color w:val="000000" w:themeColor="text1"/>
                <w:sz w:val="18"/>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031"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ascii="宋体" w:hAnsi="宋体" w:cs="宋体"/>
                <w:i/>
                <w:iCs/>
                <w:color w:val="000000"/>
                <w:szCs w:val="21"/>
                <w:u w:val="single"/>
              </w:rPr>
              <w:t xml:space="preserve">50%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92%</w:t>
            </w:r>
            <w:r/>
          </w:p>
        </w:tc>
        <w:tc>
          <w:tcPr>
            <w:tcBorders>
              <w:top w:val="single" w:color="auto"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r>
      <w:tr>
        <w:trPr>
          <w:jc w:val="center"/>
          <w:trHeight w:val="90"/>
        </w:trPr>
        <w:tc>
          <w:tcPr>
            <w:tcBorders>
              <w:top w:val="single" w:color="auto" w:sz="4" w:space="0"/>
              <w:left w:val="single" w:color="auto" w:sz="4" w:space="0"/>
              <w:bottom w:val="single" w:color="auto" w:sz="4" w:space="0"/>
              <w:right w:val="single" w:color="auto" w:sz="4" w:space="0"/>
            </w:tcBorders>
            <w:tcW w:w="555" w:type="dxa"/>
            <w:vAlign w:val="center"/>
            <w:vMerge w:val="continue"/>
            <w:textDirection w:val="lrTb"/>
            <w:noWrap w:val="false"/>
          </w:tcPr>
          <w:p>
            <w:pPr>
              <w:jc w:val="left"/>
              <w:spacing w:after="0"/>
              <w:rPr>
                <w:rFonts w:ascii="宋体" w:hAnsi="宋体" w:cs="宋体"/>
                <w:color w:val="000000" w:themeColor="text1"/>
                <w:sz w:val="18"/>
                <w14:textFill>
                  <w14:solidFill>
                    <w14:schemeClr w14:val="tx1"/>
                  </w14:solidFill>
                </w14:textFill>
              </w:rPr>
            </w:pPr>
            <w:r>
              <w:rPr>
                <w:rFonts w:ascii="宋体" w:hAnsi="宋体" w:cs="宋体"/>
                <w:color w:val="000000" w:themeColor="text1"/>
                <w:sz w:val="18"/>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031"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ascii="宋体" w:hAnsi="宋体" w:cs="宋体"/>
                <w:i/>
                <w:iCs/>
                <w:color w:val="000000"/>
                <w:szCs w:val="21"/>
                <w:u w:val="single"/>
              </w:rPr>
              <w:t xml:space="preserve">100%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88%</w:t>
            </w:r>
            <w:r/>
          </w:p>
        </w:tc>
        <w:tc>
          <w:tcPr>
            <w:tcBorders>
              <w:top w:val="single" w:color="auto"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r>
      <w:tr>
        <w:trPr>
          <w:jc w:val="center"/>
        </w:trPr>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spacing w:after="0" w:line="276" w:lineRule="auto"/>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3</w:t>
            </w:r>
            <w:r/>
          </w:p>
        </w:tc>
        <w:tc>
          <w:tcPr>
            <w:gridSpan w:val="3"/>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单路电源最低功率因数</w:t>
            </w:r>
            <w:r>
              <w:rPr>
                <w:rFonts w:ascii="宋体" w:hAnsi="宋体" w:cs="宋体"/>
                <w:i/>
                <w:iCs/>
                <w:color w:val="000000"/>
                <w:szCs w:val="21"/>
                <w:u w:val="single"/>
              </w:rPr>
              <w:t xml:space="preserve">(50%</w:t>
            </w:r>
            <w:r>
              <w:rPr>
                <w:rFonts w:hint="eastAsia" w:ascii="宋体" w:hAnsi="宋体" w:cs="宋体"/>
                <w:i/>
                <w:iCs/>
                <w:color w:val="000000"/>
                <w:szCs w:val="21"/>
                <w:u w:val="single"/>
              </w:rPr>
              <w:t xml:space="preserve">负载下的</w:t>
            </w:r>
            <w:r>
              <w:rPr>
                <w:rFonts w:ascii="宋体" w:hAnsi="宋体" w:cs="宋体"/>
                <w:i/>
                <w:iCs/>
                <w:color w:val="000000"/>
                <w:szCs w:val="21"/>
                <w:u w:val="single"/>
              </w:rPr>
              <w:t xml:space="preserve">)</w:t>
            </w:r>
            <w:r>
              <w:rPr>
                <w:rFonts w:hint="eastAsia" w:ascii="宋体" w:hAnsi="宋体" w:cs="宋体"/>
                <w:i/>
                <w:iCs/>
                <w:color w:val="000000"/>
                <w:szCs w:val="21"/>
                <w:u w:val="single"/>
              </w:rPr>
              <w:t xml:space="preserve">     </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0.90</w:t>
            </w:r>
            <w:r/>
          </w:p>
        </w:tc>
        <w:tc>
          <w:tcPr>
            <w:tcBorders>
              <w:top w:val="single" w:color="auto"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r>
      <w:tr>
        <w:trPr>
          <w:jc w:val="center"/>
        </w:trPr>
        <w:tc>
          <w:tcPr>
            <w:tcBorders>
              <w:top w:val="single" w:color="auto" w:sz="4" w:space="0"/>
              <w:left w:val="single" w:color="auto" w:sz="4" w:space="0"/>
              <w:bottom w:val="single" w:color="auto" w:sz="4" w:space="0"/>
              <w:right w:val="single" w:color="auto" w:sz="4" w:space="0"/>
            </w:tcBorders>
            <w:tcW w:w="555" w:type="dxa"/>
            <w:vAlign w:val="center"/>
            <w:vMerge w:val="restart"/>
            <w:textDirection w:val="lrTb"/>
            <w:noWrap w:val="false"/>
          </w:tcPr>
          <w:p>
            <w:pPr>
              <w:jc w:val="center"/>
              <w:spacing w:after="0" w:line="276" w:lineRule="auto"/>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4</w:t>
            </w:r>
            <w:r/>
          </w:p>
        </w:tc>
        <w:tc>
          <w:tcPr>
            <w:gridSpan w:val="2"/>
            <w:tcBorders>
              <w:top w:val="single" w:color="auto" w:sz="4" w:space="0"/>
              <w:left w:val="single" w:color="auto" w:sz="4" w:space="0"/>
              <w:bottom w:val="single" w:color="auto" w:sz="4" w:space="0"/>
              <w:right w:val="single" w:color="auto" w:sz="4" w:space="0"/>
            </w:tcBorders>
            <w:tcW w:w="2031" w:type="dxa"/>
            <w:vAlign w:val="center"/>
            <w:vMerge w:val="restart"/>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多路电源输出效率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ascii="宋体" w:hAnsi="宋体" w:cs="宋体"/>
                <w:i/>
                <w:iCs/>
                <w:color w:val="000000"/>
                <w:szCs w:val="21"/>
                <w:u w:val="single"/>
              </w:rPr>
              <w:t xml:space="preserve">20%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85%</w:t>
            </w:r>
            <w:r/>
          </w:p>
        </w:tc>
        <w:tc>
          <w:tcPr>
            <w:tcBorders>
              <w:top w:val="single" w:color="auto"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r>
      <w:tr>
        <w:trPr>
          <w:jc w:val="center"/>
        </w:trPr>
        <w:tc>
          <w:tcPr>
            <w:tcBorders>
              <w:top w:val="single" w:color="auto" w:sz="4" w:space="0"/>
              <w:left w:val="single" w:color="auto" w:sz="4" w:space="0"/>
              <w:bottom w:val="single" w:color="auto" w:sz="4" w:space="0"/>
              <w:right w:val="single" w:color="auto" w:sz="4" w:space="0"/>
            </w:tcBorders>
            <w:tcW w:w="555"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031"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ascii="宋体" w:hAnsi="宋体" w:cs="宋体"/>
                <w:i/>
                <w:iCs/>
                <w:color w:val="000000"/>
                <w:szCs w:val="21"/>
                <w:u w:val="single"/>
              </w:rPr>
              <w:t xml:space="preserve">50%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89%</w:t>
            </w:r>
            <w:r/>
          </w:p>
        </w:tc>
        <w:tc>
          <w:tcPr>
            <w:tcBorders>
              <w:top w:val="single" w:color="auto"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r>
      <w:tr>
        <w:trPr>
          <w:jc w:val="center"/>
        </w:trPr>
        <w:tc>
          <w:tcPr>
            <w:tcBorders>
              <w:top w:val="single" w:color="auto" w:sz="4" w:space="0"/>
              <w:left w:val="single" w:color="auto" w:sz="4" w:space="0"/>
              <w:bottom w:val="single" w:color="auto" w:sz="4" w:space="0"/>
              <w:right w:val="single" w:color="auto" w:sz="4" w:space="0"/>
            </w:tcBorders>
            <w:tcW w:w="555"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031"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ascii="宋体" w:hAnsi="宋体" w:cs="宋体"/>
                <w:i/>
                <w:iCs/>
                <w:color w:val="000000"/>
                <w:szCs w:val="21"/>
                <w:u w:val="single"/>
              </w:rPr>
              <w:t xml:space="preserve">100%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85%</w:t>
            </w:r>
            <w:r/>
          </w:p>
        </w:tc>
        <w:tc>
          <w:tcPr>
            <w:tcBorders>
              <w:top w:val="single" w:color="auto"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r>
      <w:tr>
        <w:trPr>
          <w:jc w:val="center"/>
        </w:trPr>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spacing w:after="0" w:line="276" w:lineRule="auto"/>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5</w:t>
            </w:r>
            <w:r/>
          </w:p>
        </w:tc>
        <w:tc>
          <w:tcPr>
            <w:gridSpan w:val="3"/>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多路电源最低功率因数</w:t>
            </w:r>
            <w:r>
              <w:rPr>
                <w:rFonts w:ascii="宋体" w:hAnsi="宋体" w:cs="宋体"/>
                <w:i/>
                <w:iCs/>
                <w:color w:val="000000"/>
                <w:szCs w:val="21"/>
                <w:u w:val="single"/>
              </w:rPr>
              <w:t xml:space="preserve">(50%</w:t>
            </w:r>
            <w:r>
              <w:rPr>
                <w:rFonts w:hint="eastAsia" w:ascii="宋体" w:hAnsi="宋体" w:cs="宋体"/>
                <w:i/>
                <w:iCs/>
                <w:color w:val="000000"/>
                <w:szCs w:val="21"/>
                <w:u w:val="single"/>
              </w:rPr>
              <w:t xml:space="preserve">负载下的</w:t>
            </w:r>
            <w:r>
              <w:rPr>
                <w:rFonts w:ascii="宋体" w:hAnsi="宋体" w:cs="宋体"/>
                <w:i/>
                <w:iCs/>
                <w:color w:val="000000"/>
                <w:szCs w:val="21"/>
                <w:u w:val="single"/>
              </w:rPr>
              <w:t xml:space="preserve">)</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0.90</w:t>
            </w:r>
            <w:r/>
          </w:p>
        </w:tc>
        <w:tc>
          <w:tcPr>
            <w:tcBorders>
              <w:top w:val="single" w:color="auto"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spacing w:after="0"/>
              <w:rPr>
                <w:rFonts w:ascii="宋体" w:hAnsi="宋体" w:cs="宋体"/>
                <w:i/>
                <w:iCs/>
                <w:color w:val="000000"/>
                <w:szCs w:val="21"/>
                <w:u w:val="single"/>
              </w:rPr>
            </w:pPr>
            <w:r>
              <w:rPr>
                <w:rFonts w:ascii="宋体" w:hAnsi="宋体" w:cs="宋体"/>
                <w:i/>
                <w:iCs/>
                <w:color w:val="000000"/>
                <w:szCs w:val="21"/>
                <w:u w:val="single"/>
              </w:rPr>
            </w:r>
            <w:r/>
          </w:p>
        </w:tc>
      </w:tr>
      <w:tr>
        <w:trPr>
          <w:jc w:val="center"/>
        </w:trPr>
        <w:tc>
          <w:tcPr>
            <w:tcBorders>
              <w:top w:val="single" w:color="auto" w:sz="4" w:space="0"/>
              <w:left w:val="single" w:color="auto" w:sz="4" w:space="0"/>
              <w:bottom w:val="single" w:color="auto" w:sz="4" w:space="0"/>
              <w:right w:val="single" w:color="auto" w:sz="4" w:space="0"/>
            </w:tcBorders>
            <w:tcW w:w="555" w:type="dxa"/>
            <w:vAlign w:val="center"/>
            <w:vMerge w:val="restart"/>
            <w:textDirection w:val="lrTb"/>
            <w:noWrap w:val="false"/>
          </w:tcPr>
          <w:p>
            <w:pPr>
              <w:jc w:val="center"/>
              <w:spacing w:after="0" w:line="276" w:lineRule="auto"/>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13" w:type="dxa"/>
            <w:vAlign w:val="center"/>
            <w:vMerge w:val="restart"/>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噪声发射</w:t>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有人值守</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hint="eastAsia" w:ascii="宋体" w:hAnsi="宋体" w:cs="宋体"/>
                <w:i/>
                <w:iCs/>
                <w:color w:val="000000"/>
                <w:szCs w:val="21"/>
                <w:u w:val="single"/>
              </w:rPr>
            </w:pPr>
            <w:r>
              <w:rPr>
                <w:rFonts w:hint="default" w:ascii="宋体" w:hAnsi="宋体" w:cs="宋体"/>
                <w:i/>
                <w:iCs/>
                <w:color w:val="000000"/>
                <w:szCs w:val="21"/>
                <w:u w:val="single"/>
              </w:rPr>
              <w:t xml:space="preserve">≤</w:t>
            </w:r>
            <w:r>
              <w:rPr>
                <w:rFonts w:hint="eastAsia" w:ascii="宋体" w:hAnsi="宋体" w:cs="宋体"/>
                <w:i/>
                <w:iCs/>
                <w:color w:val="000000"/>
                <w:szCs w:val="21"/>
                <w:u w:val="single"/>
              </w:rPr>
              <w:t xml:space="preserve">7.6</w:t>
            </w:r>
            <w:r>
              <w:rPr>
                <w:rFonts w:hint="eastAsia" w:ascii="宋体" w:hAnsi="宋体" w:cs="宋体"/>
                <w:i/>
                <w:iCs/>
                <w:color w:val="000000"/>
                <w:szCs w:val="21"/>
                <w:u w:val="single"/>
                <w:lang w:val="en-US" w:eastAsia="zh-CN"/>
              </w:rPr>
              <w:t xml:space="preserve"> </w:t>
            </w:r>
            <w:r>
              <w:rPr>
                <w:rFonts w:hint="eastAsia" w:ascii="宋体" w:hAnsi="宋体" w:cs="宋体"/>
                <w:i/>
                <w:iCs/>
                <w:color w:val="000000"/>
                <w:szCs w:val="21"/>
                <w:u w:val="single"/>
              </w:rPr>
              <w:t xml:space="preserve">Bels</w:t>
            </w:r>
            <w:r/>
          </w:p>
        </w:tc>
        <w:tc>
          <w:tcPr>
            <w:tcBorders>
              <w:top w:val="single" w:color="auto" w:sz="4" w:space="0"/>
              <w:left w:val="single" w:color="auto" w:sz="4" w:space="0"/>
              <w:bottom w:val="single" w:color="auto" w:sz="4" w:space="0"/>
              <w:right w:val="single" w:color="auto" w:sz="4" w:space="0"/>
            </w:tcBorders>
            <w:tcW w:w="2825" w:type="dxa"/>
            <w:vAlign w:val="center"/>
            <w:vMerge w:val="restart"/>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检测方法依据</w:t>
            </w:r>
            <w:r>
              <w:rPr>
                <w:rFonts w:ascii="宋体" w:hAnsi="宋体" w:cs="宋体"/>
                <w:i/>
                <w:iCs/>
                <w:color w:val="000000"/>
                <w:szCs w:val="21"/>
                <w:u w:val="single"/>
              </w:rPr>
              <w:t xml:space="preserve">YD/T 1816</w:t>
            </w:r>
            <w:r>
              <w:rPr>
                <w:rFonts w:hint="eastAsia" w:ascii="宋体" w:hAnsi="宋体" w:cs="宋体"/>
                <w:i/>
                <w:iCs/>
                <w:color w:val="000000"/>
                <w:szCs w:val="21"/>
                <w:u w:val="single"/>
              </w:rPr>
              <w:t xml:space="preserve">要求</w:t>
            </w:r>
            <w:r/>
          </w:p>
        </w:tc>
      </w:tr>
      <w:tr>
        <w:trPr>
          <w:jc w:val="center"/>
          <w:trHeight w:val="90"/>
        </w:trPr>
        <w:tc>
          <w:tcPr>
            <w:tcBorders>
              <w:top w:val="single" w:color="auto" w:sz="4" w:space="0"/>
              <w:left w:val="single" w:color="auto" w:sz="4" w:space="0"/>
              <w:bottom w:val="single" w:color="auto" w:sz="4" w:space="0"/>
              <w:right w:val="single" w:color="auto" w:sz="4" w:space="0"/>
            </w:tcBorders>
            <w:tcW w:w="555"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13"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0"/>
              <w:ind w:left="0" w:firstLine="0"/>
              <w:spacing w:after="0" w:line="276" w:lineRule="auto"/>
              <w:rPr>
                <w:rFonts w:ascii="宋体" w:hAnsi="宋体" w:cs="宋体"/>
                <w:i/>
                <w:iCs/>
                <w:color w:val="000000"/>
                <w:szCs w:val="21"/>
                <w:u w:val="single"/>
              </w:rPr>
            </w:pPr>
            <w:r>
              <w:rPr>
                <w:rFonts w:hint="eastAsia" w:ascii="宋体" w:hAnsi="宋体" w:cs="宋体"/>
                <w:i/>
                <w:iCs/>
                <w:color w:val="000000"/>
                <w:szCs w:val="21"/>
                <w:u w:val="single"/>
              </w:rPr>
              <w:t xml:space="preserve">无人值守</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pStyle w:val="930"/>
              <w:ind w:left="0" w:firstLine="0"/>
              <w:jc w:val="both"/>
              <w:spacing w:after="0" w:line="276" w:lineRule="auto"/>
              <w:rPr>
                <w:rFonts w:hint="eastAsia" w:ascii="宋体" w:hAnsi="宋体" w:cs="宋体"/>
                <w:i/>
                <w:iCs/>
                <w:color w:val="000000"/>
                <w:szCs w:val="21"/>
                <w:u w:val="single"/>
              </w:rPr>
            </w:pPr>
            <w:r>
              <w:rPr>
                <w:rFonts w:hint="default" w:ascii="宋体" w:hAnsi="宋体" w:cs="宋体"/>
                <w:i/>
                <w:iCs/>
                <w:color w:val="000000"/>
                <w:szCs w:val="21"/>
                <w:u w:val="single"/>
              </w:rPr>
              <w:t xml:space="preserve">≤</w:t>
            </w:r>
            <w:r>
              <w:rPr>
                <w:rFonts w:hint="eastAsia" w:ascii="宋体" w:hAnsi="宋体" w:cs="宋体"/>
                <w:i/>
                <w:iCs/>
                <w:color w:val="000000"/>
                <w:szCs w:val="21"/>
                <w:u w:val="single"/>
              </w:rPr>
              <w:t xml:space="preserve">8.1 Bels</w:t>
            </w:r>
            <w:r/>
          </w:p>
        </w:tc>
        <w:tc>
          <w:tcPr>
            <w:tcBorders>
              <w:top w:val="single" w:color="auto"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r>
    </w:tbl>
    <w:p>
      <w:pPr>
        <w:ind w:firstLine="480"/>
        <w:spacing w:after="0" w:line="440" w:lineRule="exact"/>
        <w:rPr>
          <w:rFonts w:hint="eastAsia" w:ascii="宋体" w:hAnsi="宋体"/>
          <w:b/>
          <w:bCs/>
          <w:sz w:val="24"/>
        </w:rPr>
        <w:outlineLvl w:val="0"/>
      </w:pPr>
      <w:r>
        <w:rPr>
          <w:rFonts w:hint="eastAsia" w:asciiTheme="minorEastAsia" w:hAnsiTheme="minorEastAsia"/>
          <w:i/>
          <w:iCs/>
          <w:sz w:val="24"/>
          <w:u w:val="single"/>
        </w:rPr>
        <w:t xml:space="preserve">合规性验证方式：查验数据中心提供的第三方检测报告或第三方认证证书。</w:t>
      </w:r>
      <w:r/>
    </w:p>
    <w:p>
      <w:pPr>
        <w:ind w:firstLine="482"/>
        <w:spacing w:after="0" w:line="440" w:lineRule="exact"/>
        <w:rPr>
          <w:rFonts w:ascii="宋体" w:hAnsi="宋体"/>
          <w:b/>
          <w:bCs/>
          <w:sz w:val="24"/>
        </w:rPr>
        <w:outlineLvl w:val="0"/>
      </w:pPr>
      <w:r>
        <w:rPr>
          <w:rFonts w:hint="eastAsia" w:ascii="宋体" w:hAnsi="宋体"/>
          <w:b/>
          <w:bCs/>
          <w:sz w:val="24"/>
          <w:lang w:val="en-US" w:eastAsia="zh-CN"/>
        </w:rPr>
        <w:t xml:space="preserve">3</w:t>
      </w:r>
      <w:r>
        <w:rPr>
          <w:rFonts w:hint="eastAsia" w:ascii="宋体" w:hAnsi="宋体"/>
          <w:b/>
          <w:bCs/>
          <w:sz w:val="24"/>
        </w:rPr>
        <w:t xml:space="preserve">、系统总体要求</w:t>
      </w:r>
      <w:r/>
    </w:p>
    <w:p>
      <w:pPr>
        <w:pStyle w:val="934"/>
        <w:ind w:firstLine="420"/>
        <w:jc w:val="left"/>
        <w:keepLines w:val="0"/>
        <w:keepNext w:val="0"/>
        <w:pageBreakBefore w:val="0"/>
        <w:widowControl w:val="off"/>
        <w:rPr>
          <w:rFonts w:asciiTheme="minorEastAsia" w:hAnsiTheme="minorEastAsia"/>
        </w:rPr>
      </w:pPr>
      <w:r>
        <w:rPr>
          <w:rFonts w:hint="eastAsia" w:asciiTheme="minorEastAsia" w:hAnsiTheme="minorEastAsia"/>
        </w:rPr>
        <w:t xml:space="preserve">1、要求平台内录像存储容量不少于30天，图片存储不少于1年。要求全部高清摄像机按1080P每秒不低于25帧动态码流存储；后端云存储设备采用N+1备份。任意一台或者多台服务器发生故障，整个系统正常运转，且录像不丢失。任意两台存储设备出现故障，不影响视频流的正常存储，系统能正常运转；中标人的前端设备、管理软件须满足国家GB/T28181-2011、GB 35114标准（A级以上）标准。系统平台与仪征市公安局实战应用平台对接的方式采用GB/T28181-2011规定的标准。</w:t>
      </w:r>
      <w:r/>
    </w:p>
    <w:p>
      <w:pPr>
        <w:pStyle w:val="934"/>
        <w:ind w:firstLine="420"/>
        <w:rPr>
          <w:rFonts w:asciiTheme="minorEastAsia" w:hAnsiTheme="minorEastAsia"/>
        </w:rPr>
      </w:pPr>
      <w:r>
        <w:rPr>
          <w:rFonts w:hint="eastAsia" w:asciiTheme="minorEastAsia" w:hAnsiTheme="minorEastAsia"/>
        </w:rPr>
        <w:t xml:space="preserve">2、除本项目</w:t>
      </w:r>
      <w:r>
        <w:rPr>
          <w:rFonts w:hint="eastAsia" w:asciiTheme="minorEastAsia" w:hAnsiTheme="minorEastAsia"/>
          <w:lang w:val="zh-CN"/>
        </w:rPr>
        <w:t xml:space="preserve">的主要设备清单外，中标人</w:t>
      </w:r>
      <w:r>
        <w:rPr>
          <w:rFonts w:hint="eastAsia" w:asciiTheme="minorEastAsia" w:hAnsiTheme="minorEastAsia"/>
        </w:rPr>
        <w:t xml:space="preserve">应</w:t>
      </w:r>
      <w:r>
        <w:rPr>
          <w:rFonts w:hint="eastAsia" w:asciiTheme="minorEastAsia" w:hAnsiTheme="minorEastAsia"/>
          <w:lang w:val="zh-CN"/>
        </w:rPr>
        <w:t xml:space="preserve">根据实际情况对配套的杆件、防雷接地、机柜、网络等设备进行更换、维护和补充，确保使用过程中的安全可靠，中标人无论是自建、借用其它杆件，中标人应负安全责任，杆件均需要满足关于前端材料设备部分技术要求，</w:t>
      </w:r>
      <w:r>
        <w:rPr>
          <w:rFonts w:hint="eastAsia" w:asciiTheme="minorEastAsia" w:hAnsiTheme="minorEastAsia"/>
        </w:rPr>
        <w:t xml:space="preserve">所有相机应根据场景配相应的电源、镜头、支架等配件</w:t>
      </w:r>
      <w:r>
        <w:rPr>
          <w:rFonts w:hint="eastAsia" w:asciiTheme="minorEastAsia" w:hAnsiTheme="minorEastAsia"/>
          <w:lang w:val="zh-CN"/>
        </w:rPr>
        <w:t xml:space="preserve">，投标人报价时应考虑整个系统正常运行（包括后端接入、平台接入授权等硬件、软件、人工、运输）所产生的各种费用，本项目中交换机安装、调试也均由中标人负责，投标人需考虑其中所有费用，除中标价外，采购人不再另外支付其他费用。</w:t>
      </w:r>
      <w:r>
        <w:rPr>
          <w:rFonts w:hint="eastAsia" w:asciiTheme="minorEastAsia" w:hAnsiTheme="minorEastAsia"/>
        </w:rPr>
        <w:t xml:space="preserve">本项目在交付使用前安全责任由中标人负责，施工过程中造成的人身伤害、财产伤害以及涉及相关法律责任均由中标人承担。</w:t>
      </w:r>
      <w:r>
        <w:rPr>
          <w:rFonts w:hint="eastAsia" w:asciiTheme="minorEastAsia" w:hAnsiTheme="minorEastAsia"/>
          <w:lang w:val="zh-CN"/>
        </w:rPr>
        <w:t xml:space="preserve">投标人必须考虑</w:t>
      </w:r>
      <w:r>
        <w:rPr>
          <w:rFonts w:hint="eastAsia" w:asciiTheme="minorEastAsia" w:hAnsiTheme="minorEastAsia"/>
        </w:rPr>
        <w:t xml:space="preserve">全部</w:t>
      </w:r>
      <w:r>
        <w:rPr>
          <w:rFonts w:hint="eastAsia" w:asciiTheme="minorEastAsia" w:hAnsiTheme="minorEastAsia"/>
          <w:lang w:val="zh-CN"/>
        </w:rPr>
        <w:t xml:space="preserve">前端设备的取电及施工问题（含协调），采购人不另外提供任何费用。</w:t>
      </w:r>
      <w:r>
        <w:rPr>
          <w:rFonts w:hint="eastAsia" w:asciiTheme="minorEastAsia" w:hAnsiTheme="minorEastAsia"/>
        </w:rPr>
        <w:t xml:space="preserve">在施工中若对道路、绿化、管网、光缆等公共设施破坏的，由中标人负责恢复。</w:t>
      </w:r>
      <w:r/>
    </w:p>
    <w:p>
      <w:pPr>
        <w:pStyle w:val="934"/>
        <w:ind w:firstLine="420"/>
        <w:rPr>
          <w:rFonts w:asciiTheme="minorEastAsia" w:hAnsiTheme="minorEastAsia"/>
          <w:i/>
          <w:iCs/>
          <w:u w:val="single"/>
          <w:lang w:val="zh-CN"/>
        </w:rPr>
      </w:pPr>
      <w:r>
        <w:rPr>
          <w:rFonts w:hint="eastAsia" w:asciiTheme="minorEastAsia" w:hAnsiTheme="minorEastAsia"/>
          <w:i/>
          <w:iCs/>
          <w:u w:val="single"/>
          <w:lang w:val="zh-CN"/>
        </w:rPr>
        <w:t xml:space="preserve">3、</w:t>
      </w:r>
      <w:r>
        <w:rPr>
          <w:rFonts w:hint="eastAsia" w:asciiTheme="minorEastAsia" w:hAnsiTheme="minorEastAsia"/>
          <w:i/>
          <w:iCs/>
          <w:u w:val="single"/>
        </w:rPr>
        <w:t xml:space="preserve">中标人</w:t>
      </w:r>
      <w:r>
        <w:rPr>
          <w:rFonts w:hint="eastAsia" w:asciiTheme="minorEastAsia" w:hAnsiTheme="minorEastAsia"/>
          <w:i/>
          <w:iCs/>
          <w:u w:val="single"/>
          <w:lang w:val="zh-CN"/>
        </w:rPr>
        <w:t xml:space="preserve">所提供的前端相机、后端云存储系统扩容必须无缝接入现有的仪征市公安视频图像信息应用平台。接入平台后，任意7天内平台认定的超低质量图片比例不高于百分之五。</w:t>
      </w:r>
      <w:r>
        <w:rPr>
          <w:rFonts w:hint="eastAsia" w:ascii="宋体" w:hAnsi="宋体" w:cs="宋体"/>
          <w:b/>
          <w:i/>
          <w:iCs/>
          <w:u w:val="single"/>
        </w:rPr>
        <w:t xml:space="preserve">（提供承诺函，原件扫描上传，格式自拟）</w:t>
      </w:r>
      <w:r/>
    </w:p>
    <w:p>
      <w:pPr>
        <w:ind w:firstLine="420"/>
        <w:spacing w:after="0" w:line="360" w:lineRule="auto"/>
        <w:rPr>
          <w:rFonts w:ascii="宋体" w:hAnsi="宋体"/>
          <w:b/>
          <w:i/>
          <w:color w:val="ff0000"/>
          <w:sz w:val="28"/>
          <w:szCs w:val="28"/>
          <w:u w:val="single"/>
        </w:rPr>
      </w:pPr>
      <w:r>
        <w:rPr>
          <w:rFonts w:hint="eastAsia" w:asciiTheme="minorEastAsia" w:hAnsiTheme="minorEastAsia"/>
          <w:i/>
          <w:iCs/>
          <w:sz w:val="24"/>
          <w:u w:val="single"/>
          <w:lang w:val="zh-CN"/>
        </w:rPr>
        <w:t xml:space="preserve">4、承诺所有后端设备使用的硬盘在本地有备份，有损坏时能在48小时内更换，并承诺所有硬件设备，不限于交换机、存储后端等设备在合同到期后，采购人有永久使用权。</w:t>
      </w:r>
      <w:r>
        <w:rPr>
          <w:rFonts w:hint="eastAsia" w:ascii="宋体" w:hAnsi="宋体" w:cs="宋体"/>
          <w:b/>
          <w:i/>
          <w:iCs/>
          <w:sz w:val="24"/>
          <w:u w:val="single"/>
        </w:rPr>
        <w:t xml:space="preserve">（提供承诺函，原件扫描上传，格式自拟）</w:t>
      </w:r>
      <w:r/>
    </w:p>
    <w:p>
      <w:pPr>
        <w:ind w:firstLine="420"/>
        <w:spacing w:after="0" w:line="360" w:lineRule="auto"/>
        <w:rPr>
          <w:rFonts w:ascii="宋体" w:hAnsi="宋体"/>
          <w:b/>
          <w:i/>
          <w:color w:val="ff0000"/>
          <w:sz w:val="28"/>
          <w:szCs w:val="28"/>
          <w:u w:val="single"/>
        </w:rPr>
      </w:pPr>
      <w:r>
        <w:rPr>
          <w:rFonts w:hint="eastAsia" w:asciiTheme="minorEastAsia" w:hAnsiTheme="minorEastAsia"/>
          <w:i/>
          <w:iCs/>
          <w:sz w:val="24"/>
          <w:u w:val="single"/>
          <w:lang w:val="zh-CN"/>
        </w:rPr>
        <w:t xml:space="preserve">5、</w:t>
      </w:r>
      <w:r>
        <w:rPr>
          <w:rFonts w:hint="eastAsia" w:asciiTheme="minorEastAsia" w:hAnsiTheme="minorEastAsia"/>
          <w:i/>
          <w:iCs/>
          <w:sz w:val="24"/>
          <w:u w:val="single"/>
        </w:rPr>
        <w:t xml:space="preserve">中标人</w:t>
      </w:r>
      <w:r>
        <w:rPr>
          <w:rFonts w:hint="eastAsia" w:asciiTheme="minorEastAsia" w:hAnsiTheme="minorEastAsia"/>
          <w:i/>
          <w:iCs/>
          <w:sz w:val="24"/>
          <w:u w:val="single"/>
          <w:lang w:val="zh-CN"/>
        </w:rPr>
        <w:t xml:space="preserve">在安装新设备时，不得损坏原有相机及其配套的必备配件、辅材，保证在施工后相机在线，直至自然损坏。</w:t>
      </w:r>
      <w:r>
        <w:rPr>
          <w:rFonts w:hint="eastAsia" w:ascii="宋体" w:hAnsi="宋体" w:cs="宋体"/>
          <w:b/>
          <w:i/>
          <w:iCs/>
          <w:sz w:val="24"/>
          <w:u w:val="single"/>
        </w:rPr>
        <w:t xml:space="preserve">（提供承诺函，原件扫描上传，格式自拟）</w:t>
      </w:r>
      <w:r/>
    </w:p>
    <w:p>
      <w:pPr>
        <w:ind w:firstLine="420"/>
        <w:spacing w:after="0" w:line="360" w:lineRule="auto"/>
        <w:rPr>
          <w:rFonts w:ascii="宋体" w:hAnsi="宋体"/>
          <w:b/>
          <w:i/>
          <w:color w:val="ff0000"/>
          <w:sz w:val="28"/>
          <w:szCs w:val="28"/>
          <w:u w:val="single"/>
        </w:rPr>
      </w:pPr>
      <w:r>
        <w:rPr>
          <w:rFonts w:hint="eastAsia" w:asciiTheme="minorEastAsia" w:hAnsiTheme="minorEastAsia"/>
          <w:i/>
          <w:iCs/>
          <w:sz w:val="24"/>
          <w:u w:val="single"/>
        </w:rPr>
        <w:t xml:space="preserve">6、服务期间，中标人未经采购人同意，不得访问、获取、留存、使用、泄露或者向他人提供数据，不得对数据进行关联分析。所有数据归采购人。</w:t>
      </w:r>
      <w:r>
        <w:rPr>
          <w:rFonts w:hint="eastAsia" w:ascii="宋体" w:hAnsi="宋体" w:cs="宋体"/>
          <w:b/>
          <w:i/>
          <w:iCs/>
          <w:sz w:val="24"/>
          <w:u w:val="single"/>
        </w:rPr>
        <w:t xml:space="preserve">（提供承诺函，原件扫描上传，格式自拟）</w:t>
      </w:r>
      <w:r/>
    </w:p>
    <w:p>
      <w:pPr>
        <w:ind w:firstLine="422"/>
        <w:jc w:val="left"/>
        <w:spacing w:after="0" w:line="440" w:lineRule="exact"/>
        <w:rPr>
          <w:sz w:val="28"/>
          <w:szCs w:val="28"/>
        </w:rPr>
        <w:outlineLvl w:val="0"/>
      </w:pPr>
      <w:r>
        <w:rPr>
          <w:rFonts w:hint="eastAsia" w:ascii="宋体" w:hAnsi="宋体"/>
          <w:b/>
          <w:bCs/>
          <w:sz w:val="24"/>
          <w:lang w:val="en-US" w:eastAsia="zh-CN"/>
        </w:rPr>
        <w:t xml:space="preserve">4</w:t>
      </w:r>
      <w:r>
        <w:rPr>
          <w:rFonts w:hint="eastAsia" w:ascii="宋体" w:hAnsi="宋体"/>
          <w:b/>
          <w:bCs/>
          <w:sz w:val="24"/>
        </w:rPr>
        <w:t xml:space="preserve">、设备采购清单与技术参数</w:t>
      </w:r>
      <w:r/>
    </w:p>
    <w:tbl>
      <w:tblPr>
        <w:tblStyle w:val="878"/>
        <w:tblW w:w="9255" w:type="dxa"/>
        <w:tblInd w:w="-282" w:type="dxa"/>
        <w:tblLayout w:type="fixed"/>
        <w:tblCellMar>
          <w:left w:w="108" w:type="dxa"/>
          <w:top w:w="0" w:type="dxa"/>
          <w:right w:w="108" w:type="dxa"/>
          <w:bottom w:w="0" w:type="dxa"/>
        </w:tblCellMar>
        <w:tblLook w:val="04A0" w:firstRow="1" w:lastRow="0" w:firstColumn="1" w:lastColumn="0" w:noHBand="0" w:noVBand="1"/>
      </w:tblPr>
      <w:tblGrid>
        <w:gridCol w:w="675"/>
        <w:gridCol w:w="1125"/>
        <w:gridCol w:w="6090"/>
        <w:gridCol w:w="690"/>
        <w:gridCol w:w="675"/>
      </w:tblGrid>
      <w:tr>
        <w:trPr>
          <w:trHeight w:val="629"/>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spacing w:after="0" w:line="240" w:lineRule="auto"/>
              <w:rPr>
                <w:rFonts w:ascii="宋体" w:hAnsi="宋体" w:cs="宋体"/>
                <w:b/>
                <w:bCs/>
                <w:color w:val="000000"/>
                <w:sz w:val="22"/>
                <w:szCs w:val="22"/>
              </w:rPr>
            </w:pPr>
            <w:r>
              <w:rPr>
                <w:rFonts w:hint="eastAsia" w:ascii="宋体" w:hAnsi="宋体" w:cs="宋体"/>
                <w:b/>
                <w:bCs/>
                <w:color w:val="000000"/>
                <w:sz w:val="22"/>
                <w:szCs w:val="22"/>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6090" w:type="dxa"/>
            <w:vAlign w:val="center"/>
            <w:textDirection w:val="lrTb"/>
            <w:noWrap w:val="false"/>
          </w:tcPr>
          <w:p>
            <w:pPr>
              <w:jc w:val="center"/>
              <w:spacing w:after="0" w:line="240" w:lineRule="auto"/>
              <w:rPr>
                <w:rFonts w:ascii="宋体" w:hAnsi="宋体" w:cs="宋体"/>
                <w:b/>
                <w:bCs/>
                <w:color w:val="000000"/>
                <w:sz w:val="22"/>
                <w:szCs w:val="22"/>
              </w:rPr>
            </w:pPr>
            <w:r>
              <w:rPr>
                <w:rFonts w:hint="eastAsia" w:ascii="宋体" w:hAnsi="宋体" w:cs="宋体"/>
                <w:b/>
                <w:bCs/>
                <w:color w:val="000000"/>
                <w:sz w:val="22"/>
                <w:szCs w:val="22"/>
              </w:rPr>
              <w:t xml:space="preserve">规格和型号</w:t>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after="0" w:line="240" w:lineRule="auto"/>
              <w:rPr>
                <w:rFonts w:ascii="宋体" w:hAnsi="宋体" w:cs="宋体"/>
                <w:b/>
                <w:bCs/>
                <w:color w:val="000000"/>
                <w:sz w:val="22"/>
                <w:szCs w:val="22"/>
              </w:rPr>
            </w:pPr>
            <w:r>
              <w:rPr>
                <w:rFonts w:hint="eastAsia" w:ascii="宋体" w:hAnsi="宋体" w:cs="宋体"/>
                <w:b/>
                <w:bCs/>
                <w:color w:val="000000"/>
                <w:sz w:val="22"/>
                <w:szCs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jc w:val="center"/>
              <w:spacing w:after="0" w:line="240" w:lineRule="auto"/>
              <w:rPr>
                <w:rFonts w:ascii="宋体" w:hAnsi="宋体" w:cs="宋体"/>
                <w:b/>
                <w:bCs/>
                <w:color w:val="000000"/>
                <w:sz w:val="22"/>
                <w:szCs w:val="22"/>
              </w:rPr>
            </w:pPr>
            <w:r>
              <w:rPr>
                <w:rFonts w:hint="eastAsia" w:ascii="宋体" w:hAnsi="宋体" w:cs="宋体"/>
                <w:b/>
                <w:bCs/>
                <w:color w:val="000000"/>
                <w:sz w:val="22"/>
                <w:szCs w:val="22"/>
              </w:rPr>
              <w:t xml:space="preserve">数量</w:t>
            </w:r>
            <w:r/>
          </w:p>
        </w:tc>
      </w:tr>
      <w:tr>
        <w:trPr>
          <w:trHeight w:val="341"/>
        </w:trPr>
        <w:tc>
          <w:tcPr>
            <w:shd w:val="clear" w:color="auto" w:fill="auto"/>
            <w:tcBorders>
              <w:top w:val="none" w:color="000000" w:sz="4" w:space="0"/>
              <w:left w:val="single" w:color="auto" w:sz="4" w:space="0"/>
              <w:bottom w:val="single" w:color="000000"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112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Cs w:val="21"/>
              </w:rPr>
              <w:t xml:space="preserve">行人闯红灯抓拍单元</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900w行人闯红灯抓拍单元：采用不低于1英寸900万像素高帧率彩色全局曝光CMOS高清智能摄像机，最大分辨率可达4096×2160，帧率高达25帧；</w:t>
            </w:r>
            <w:r/>
          </w:p>
          <w:p>
            <w:pPr>
              <w:jc w:val="left"/>
              <w:spacing w:after="0"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设备组成：高清抓拍单元由摄像机、高清镜头、室外防护罩、风扇、补光灯、电源适配器、安装万向节等组成。</w:t>
            </w:r>
            <w:r/>
          </w:p>
          <w:p>
            <w:pPr>
              <w:jc w:val="left"/>
              <w:spacing w:after="0" w:line="24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视频分辨率设置：支持视频分辨率设置为：50fps：4096×2160、3840×2336、1920×1080、1600×1200、1280×720；25fps：4096×2160、3840×2336、1920×1080、1600×1200、1280×720。</w:t>
            </w:r>
            <w:r/>
          </w:p>
          <w:p>
            <w:pPr>
              <w:jc w:val="left"/>
              <w:spacing w:after="0" w:line="24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支持LED频闪灯同步补光，防护罩内置LED车牌补光灯，摄像机内置网络防雷</w:t>
            </w:r>
            <w:r>
              <w:rPr>
                <w:rFonts w:hint="eastAsia" w:asciiTheme="minorEastAsia" w:hAnsiTheme="minorEastAsia" w:eastAsiaTheme="minorEastAsia" w:cstheme="minorEastAsia"/>
                <w:color w:val="auto"/>
                <w:sz w:val="21"/>
                <w:szCs w:val="21"/>
                <w:lang w:eastAsia="zh-CN"/>
              </w:rPr>
              <w:t xml:space="preserve">。</w:t>
            </w:r>
            <w:r/>
          </w:p>
          <w:p>
            <w:pPr>
              <w:jc w:val="left"/>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★持行人闯红灯抓拍功能，可抓拍其运动过程，支持对闯红灯的目标进行人体抠图和人脸抠图（正面）； 白天捕获率≥99％：晚上捕获率≥99％；</w:t>
            </w:r>
            <w:r>
              <w:rPr>
                <w:rFonts w:hint="eastAsia" w:asciiTheme="minorEastAsia" w:hAnsiTheme="minorEastAsia" w:eastAsiaTheme="minorEastAsia" w:cstheme="minorEastAsia"/>
                <w:b/>
                <w:bCs/>
                <w:color w:val="auto"/>
                <w:sz w:val="21"/>
                <w:szCs w:val="21"/>
                <w:highlight w:val="none"/>
              </w:rPr>
              <w:t xml:space="preserve">（提供有资质的第三方检测机构出具的检测报告，原件扫描上传）</w:t>
            </w:r>
            <w:r/>
          </w:p>
        </w:tc>
        <w:tc>
          <w:tcPr>
            <w:shd w:val="clear" w:color="auto" w:fill="auto"/>
            <w:tcBorders>
              <w:top w:val="none" w:color="000000" w:sz="4" w:space="0"/>
              <w:left w:val="single" w:color="auto" w:sz="4" w:space="0"/>
              <w:bottom w:val="single" w:color="000000" w:sz="4" w:space="0"/>
              <w:right w:val="single" w:color="auto" w:sz="4" w:space="0"/>
            </w:tcBorders>
            <w:tcW w:w="69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none" w:color="000000" w:sz="4" w:space="0"/>
              <w:left w:val="single" w:color="auto" w:sz="4" w:space="0"/>
              <w:bottom w:val="single" w:color="000000"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8</w:t>
            </w:r>
            <w:r/>
          </w:p>
        </w:tc>
      </w:tr>
      <w:tr>
        <w:trPr>
          <w:trHeight w:val="90"/>
        </w:trPr>
        <w:tc>
          <w:tcPr>
            <w:tcBorders>
              <w:top w:val="non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top w:val="none" w:color="000000" w:sz="4" w:space="0"/>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color w:val="000000"/>
                <w:sz w:val="21"/>
                <w:szCs w:val="21"/>
              </w:rPr>
              <w:t xml:space="preserve">★支持对非机动车闯红灯抓拍，可抓拍其运动过程，支持对闯红灯的目标进行人体抠图和人脸抠图（正面）； 白天捕获率≥99％；晚上捕获率≥99％；红绿灯信号检测方式支持：IO信号，红绿灯检测器，视频检测</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rPr>
              <w:t xml:space="preserve">★支持无存储卡报警、IP冲突报警、设备温度过高报警(温度报警阈值可设置)；支持交通信号灯故障报警，当接收通过RS485接入的信号灯检测器发送的故障报警时，可在设备IE界面进行展示；</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支持对两轮/三轮车分类识别；闯红灯违章支持叠加红灯已亮时间，可按照抓拍索引配置叠加红灯已亮时间</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支持同时输出不少于5路视频流，其中1路不低于16Mbps码率，1路不低于8Mbps码率</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支持远程数据上传，可将抓拍的图片上传给终端服务器、FTP服务器或者后端平台等</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具有防尘、防水、网络防雷、防浪涌等功能。</w:t>
            </w:r>
            <w:r/>
          </w:p>
        </w:tc>
        <w:tc>
          <w:tcPr>
            <w:tcBorders>
              <w:top w:val="none" w:color="000000" w:sz="4" w:space="0"/>
              <w:left w:val="single" w:color="auto" w:sz="4" w:space="0"/>
              <w:bottom w:val="single" w:color="000000"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top w:val="non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885"/>
        </w:trPr>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w:t>
            </w:r>
            <w:r/>
          </w:p>
        </w:tc>
        <w:tc>
          <w:tcPr>
            <w:shd w:val="clear" w:color="auto" w:fill="auto"/>
            <w:tcBorders>
              <w:top w:val="none" w:color="000000" w:sz="4" w:space="0"/>
              <w:left w:val="single" w:color="auto" w:sz="4" w:space="0"/>
              <w:right w:val="single" w:color="auto" w:sz="4" w:space="0"/>
            </w:tcBorders>
            <w:tcW w:w="112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室外双摄高清球机</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室外双摄高清球机：支持采用不低于2个靶面尺寸为1/1.8英寸的CMOS图像传感器</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支持内置2个GPU芯片，支持深度学习算法，有效提升检测准确率</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支持全景摄像机不小于1500TVL(分辨率设置为2560×1440</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码率设置为4Mbps</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帧率设置为30fps,RJ45输出)</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细节摄像机不小于1600TVL(分辨率设置为2688×1520</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码率设置为4Mbps</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帧率设置为30fps,RJ45输出)； </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支持内置全景和细节双路镜头</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细节通道不低于41倍光学变倍</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在单路和双路模式下</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设备水平视场角均应≥92°</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★支持不少于6个红外补光灯</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4个白光补光灯</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支持遮挡跟踪功能</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正在跟踪的人员全身被遮挡时</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样机细节通道可保持跟踪状态并持续框选提示</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若4s(含4s)以内被跟踪人员又出现在监控画面中</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可继续进行跟踪</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Borders>
              <w:top w:val="none" w:color="000000" w:sz="4" w:space="0"/>
              <w:left w:val="single" w:color="auto" w:sz="4" w:space="0"/>
              <w:right w:val="single" w:color="auto" w:sz="4" w:space="0"/>
            </w:tcBorders>
            <w:tcW w:w="69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36</w:t>
            </w:r>
            <w:r/>
          </w:p>
        </w:tc>
      </w:tr>
      <w:tr>
        <w:trPr>
          <w:trHeight w:val="375"/>
        </w:trPr>
        <w:tc>
          <w:tcPr>
            <w:tcBorders>
              <w:left w:val="single" w:color="auto" w:sz="4" w:space="0"/>
              <w:right w:val="single" w:color="auto" w:sz="4" w:space="0"/>
            </w:tcBorders>
            <w:tcW w:w="67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112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支持布控接力跟踪功能</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多台设备外接平台并布控成功后</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当布控人脸和车牌目标经过监控区域时</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监控区域所属的样机应按照人脸和车牌目标经过顺序进行跟踪</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并可通过平台持续显示视频图像</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支持混合目标检测功能，细节通道可对监控画面中的行人、非机动车、机动车的一种或多种混合目标进行抓拍及属性显示</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可对设定区域单场景内135个目标进行检测、框选跟踪、抓拍和属性显示</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支持跟踪比对功能，当设定区域内行人人脸与布控人脸库中的人脸比对结果一致时</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可触发报警并进行水平360°跟踪</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支持人员布控功能，当设备检测到布控黑名单中的人脸或人体时</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可通过IE浏览器给出报警提示</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并联动抓拍、跟踪目标</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可分析、显示及上传目标属性信息、目标人员的GPS信息</w:t>
            </w:r>
            <w:r>
              <w:rPr>
                <w:rFonts w:hint="eastAsia" w:asciiTheme="minorEastAsia" w:hAnsiTheme="minorEastAsia" w:eastAsiaTheme="minorEastAsia" w:cstheme="minorEastAsia"/>
                <w:color w:val="000000"/>
                <w:sz w:val="21"/>
                <w:szCs w:val="21"/>
                <w:lang w:eastAsia="zh-CN"/>
              </w:rPr>
              <w:t xml:space="preserve">。</w:t>
            </w:r>
            <w:r/>
          </w:p>
        </w:tc>
        <w:tc>
          <w:tcPr>
            <w:tcBorders>
              <w:left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75"/>
        </w:trPr>
        <w:tc>
          <w:tcPr>
            <w:tcBorders>
              <w:left w:val="single" w:color="auto" w:sz="4" w:space="0"/>
              <w:right w:val="single" w:color="auto" w:sz="4" w:space="0"/>
            </w:tcBorders>
            <w:tcW w:w="67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112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支持人脸检测比对及布控功能</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可通过IE浏览器设置5组人脸库并进行独立布控</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每个人脸信息库可单独设置布防、撤防时间</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可联动报警信号、联动抓拍、联动录像</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报警信息包含人脸属性、抓拍时间、人员注册信息和所在人脸库名称</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支持人脸抓拍图片功能，可进行人脸抓拍</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并保存为人脸照、单寸照</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支持机动车、非机动车正面、侧面,后面进行检测并自动框选跟踪</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实时上传抓拍照片</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支持多场景巡航功能，可对多个场景及预置点进行巡航并对机动车。非机动车、行人等目标进行检测</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支持联动语音功能，当检测到智能规则、动检、视频篡改、场景变更、音频异常等报警触发时</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可以选择联动语音</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会通过外接语音设备进行语音报警</w:t>
            </w:r>
            <w:r>
              <w:rPr>
                <w:rFonts w:hint="eastAsia" w:asciiTheme="minorEastAsia" w:hAnsiTheme="minorEastAsia" w:eastAsiaTheme="minorEastAsia" w:cstheme="minorEastAsia"/>
                <w:color w:val="000000"/>
                <w:sz w:val="21"/>
                <w:szCs w:val="21"/>
                <w:lang w:eastAsia="zh-CN"/>
              </w:rPr>
              <w:t xml:space="preserve">。</w:t>
            </w:r>
            <w:r/>
          </w:p>
        </w:tc>
        <w:tc>
          <w:tcPr>
            <w:tcBorders>
              <w:left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75"/>
        </w:trPr>
        <w:tc>
          <w:tcPr>
            <w:tcBorders>
              <w:left w:val="single" w:color="auto" w:sz="4" w:space="0"/>
              <w:bottom w:val="single" w:color="000000" w:sz="4" w:space="0"/>
              <w:right w:val="single" w:color="auto" w:sz="4" w:space="0"/>
            </w:tcBorders>
            <w:tcW w:w="67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支持具备不少于1个RJ45网络接口、1个音频输入接口、1个音频输出接口、7个报警输入接口、2个报警输出接口、1个复位按键、1个SD卡槽</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支持电源电压在DC36V±55%范围内变化时</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支持IP67防护等级</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支持在温度不超过-40℃～+70℃的环境下正常工作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支持在湿度不超过95%RH（无凝结）的环境下正常工作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支持GB/35114A。</w:t>
            </w:r>
            <w:r/>
          </w:p>
        </w:tc>
        <w:tc>
          <w:tcPr>
            <w:tcBorders>
              <w:left w:val="single" w:color="auto" w:sz="4" w:space="0"/>
              <w:bottom w:val="single" w:color="000000"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bottom w:val="singl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90"/>
        </w:trPr>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p>
        </w:tc>
        <w:tc>
          <w:tcPr>
            <w:shd w:val="clear" w:color="auto" w:fill="auto"/>
            <w:tcBorders>
              <w:top w:val="none" w:color="000000" w:sz="4" w:space="0"/>
              <w:left w:val="single" w:color="auto" w:sz="4" w:space="0"/>
              <w:right w:val="single" w:color="auto" w:sz="4" w:space="0"/>
            </w:tcBorders>
            <w:tcW w:w="112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室内特征抓拍</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室内特征抓拍：支持采用单个电动变焦镜头一体化设计，半球外观，自带补光灯；支持采用不低于800万像素1/1.8英寸CMOS图像传感器；支持内置GPU芯片，支持深度学习算法，有效提升检测准确率；支持镜头焦距不小于4倍变焦</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环境光照度低于50lx，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tc>
        <w:tc>
          <w:tcPr>
            <w:shd w:val="clear" w:color="auto" w:fill="auto"/>
            <w:tcBorders>
              <w:top w:val="none" w:color="000000" w:sz="4" w:space="0"/>
              <w:left w:val="single" w:color="auto" w:sz="4" w:space="0"/>
              <w:right w:val="single" w:color="auto" w:sz="4" w:space="0"/>
            </w:tcBorders>
            <w:tcW w:w="69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2</w:t>
            </w:r>
            <w:r/>
          </w:p>
        </w:tc>
      </w:tr>
      <w:tr>
        <w:trPr>
          <w:trHeight w:val="699"/>
        </w:trPr>
        <w:tc>
          <w:tcPr>
            <w:tcBorders>
              <w:left w:val="single" w:color="auto" w:sz="4" w:space="0"/>
              <w:right w:val="single" w:color="auto" w:sz="4" w:space="0"/>
            </w:tcBorders>
            <w:tcW w:w="67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112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支持相同照度场景下，速度不同的运动目标，同时经过监控画面时，相机可自适应控制2套快门曝光时间，来适配不同速度目标，以保证抓拍目标图片效果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★支持变焦镜头全焦段图像畸变校正功能，相机从短焦到长焦变倍全过程均可同步自动进行画面畸变校正，画面几何失真全焦段≤3%</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支持内置不少于3颗红外补光灯</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支持六种智能资源切换：通用行为分析、人脸检测、人脸识别、视频结构化、人数统计、道路监控；支持抓拍功能，在低照度环境下抓拍功能可自动开启，在混合场景下，可同时分别抓拍清晰的车牌、车辆及人脸</w:t>
            </w:r>
            <w:r>
              <w:rPr>
                <w:rFonts w:hint="eastAsia" w:asciiTheme="minorEastAsia" w:hAnsiTheme="minorEastAsia" w:eastAsiaTheme="minorEastAsia" w:cstheme="minorEastAsia"/>
                <w:color w:val="000000"/>
                <w:sz w:val="21"/>
                <w:szCs w:val="21"/>
                <w:lang w:eastAsia="zh-CN"/>
              </w:rPr>
              <w:t xml:space="preserve">。</w:t>
            </w:r>
            <w:r/>
          </w:p>
        </w:tc>
        <w:tc>
          <w:tcPr>
            <w:tcBorders>
              <w:left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99"/>
        </w:trPr>
        <w:tc>
          <w:tcPr>
            <w:tcBorders>
              <w:left w:val="single" w:color="auto" w:sz="4" w:space="0"/>
              <w:right w:val="single" w:color="auto" w:sz="4" w:space="0"/>
            </w:tcBorders>
            <w:tcW w:w="67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112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支持走廊模式，强光抑制，背光补偿，3D降噪，畸变矫正，数字水印，适用不同监控环境</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支持开启均值码流后，对比开启固定码流(码率设置为3840Kb/s)，录制0.5h、dav格式的录像，录像画面在清晰、图像无噪点、无拖影、无明显马赛克、无呼吸效应、无锯齿现象的情况下、录像占用存储容量应降低≥50%</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当人脸、人体、车身、车牌目标在画面中横向运动时，因速度过快或环境亮度动态范围过大，导致画面出现拖影与重影现象时，开启清影功能，可消除人脸、人体、车身、车牌目标横向拖影与重影现象，并自动调节画面亮度、锐度</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支持环境照度不高于0.51x，开启超感光功能后，可自动调节画面中人脸、人体目标以及环境景物的亮度、色彩饱和度、对比度、锐度；支持ROI，AI编码，平均码流控制，适用不同带宽和存储环境</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支持报警不少于3进2出，音频2进1出，485，BNC，支持不小于512GMicroSD卡，内置双麦克风，内置扬声器</w:t>
            </w:r>
            <w:r>
              <w:rPr>
                <w:rFonts w:hint="eastAsia" w:asciiTheme="minorEastAsia" w:hAnsiTheme="minorEastAsia" w:eastAsiaTheme="minorEastAsia" w:cstheme="minorEastAsia"/>
                <w:color w:val="000000"/>
                <w:sz w:val="21"/>
                <w:szCs w:val="21"/>
                <w:lang w:eastAsia="zh-CN"/>
              </w:rPr>
              <w:t xml:space="preserve">。</w:t>
            </w:r>
            <w:r/>
          </w:p>
        </w:tc>
        <w:tc>
          <w:tcPr>
            <w:tcBorders>
              <w:left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99"/>
        </w:trPr>
        <w:tc>
          <w:tcPr>
            <w:tcBorders>
              <w:left w:val="single" w:color="auto" w:sz="4" w:space="0"/>
              <w:bottom w:val="single" w:color="000000" w:sz="4" w:space="0"/>
              <w:right w:val="single" w:color="auto" w:sz="4" w:space="0"/>
            </w:tcBorders>
            <w:tcW w:w="67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bottom w:val="single" w:color="000000" w:sz="4" w:space="0"/>
              <w:right w:val="single" w:color="auto" w:sz="4" w:space="0"/>
            </w:tcBorders>
            <w:tcW w:w="112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★支持场景大模型算法，开启环境自适应功能后，可自动识别不同环境光的监控场景并切换图像配置，包括宽动态、曝光、增益等参数</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支持DC12V/AC24V/PoE供电方式，支持12V电源返送，最大电流165mA，峰值电流700mA</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支持IP67防护等级</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支持在温度不超过-30℃～+60℃的环境下正常工作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支持在湿度不超过95%RH（无凝结）的环境下正常工作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支持GB/35114A。</w:t>
            </w:r>
            <w:r/>
          </w:p>
        </w:tc>
        <w:tc>
          <w:tcPr>
            <w:tcBorders>
              <w:left w:val="single" w:color="auto" w:sz="4" w:space="0"/>
              <w:bottom w:val="single" w:color="000000"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bottom w:val="single" w:color="000000"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05"/>
        </w:trPr>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p>
        </w:tc>
        <w:tc>
          <w:tcPr>
            <w:shd w:val="clear" w:color="auto" w:fill="auto"/>
            <w:tcBorders>
              <w:top w:val="none" w:color="000000" w:sz="4" w:space="0"/>
              <w:left w:val="single" w:color="auto" w:sz="4" w:space="0"/>
              <w:right w:val="single" w:color="auto" w:sz="4" w:space="0"/>
            </w:tcBorders>
            <w:tcW w:w="112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室外双摄特征抓拍</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内置2个CPU、GPU、NPU一体化芯片。</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最低照度，彩色：≤0.0004Lux，黑白：≤0.0001Lux。</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全景、细节分辨率均不小于3840×2160；传感器靶面全景细节均≥1/1.8"，全景焦距4mm，细节焦距8-32mm。</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★全景路镜头，最大光圈不低于F0.95；细节路镜头支持电动变焦，并可对拍摄物体进行自动聚焦，镜头最大光圈不低于F1.0。</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rPr>
                <w:rFonts w:hint="eastAsia" w:asciiTheme="minorEastAsia" w:hAnsiTheme="minorEastAsia" w:eastAsiaTheme="minorEastAsia" w:cstheme="minorEastAsia"/>
              </w:rPr>
              <w:t xml:space="preserve">。</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细节路支持景深拓展功能，在固定光圈最大情况下，手动调整等级，画面亮度不变，但画面上、下部分清晰度明显变化。</w:t>
            </w:r>
            <w:r/>
          </w:p>
          <w:p>
            <w:pPr>
              <w:rPr>
                <w:rFonts w:hint="eastAsia" w:asciiTheme="minorEastAsia" w:hAnsiTheme="minorEastAsia" w:eastAsiaTheme="minorEastAsia" w:cstheme="minorEastAsia"/>
                <w:color w:val="ee0000"/>
                <w:sz w:val="21"/>
                <w:szCs w:val="21"/>
              </w:rPr>
            </w:pPr>
            <w:r>
              <w:rPr>
                <w:rFonts w:hint="eastAsia" w:asciiTheme="minorEastAsia" w:hAnsiTheme="minorEastAsia" w:eastAsiaTheme="minorEastAsia" w:cstheme="minorEastAsia"/>
              </w:rPr>
              <w:t xml:space="preserve">内置补光灯，红外补光距离≥60m，柔光补光距离≥30m</w:t>
            </w:r>
            <w:r>
              <w:rPr>
                <w:rFonts w:hint="eastAsia" w:asciiTheme="minorEastAsia" w:hAnsiTheme="minorEastAsia" w:eastAsiaTheme="minorEastAsia" w:cstheme="minorEastAsia"/>
                <w:lang w:eastAsia="zh-CN"/>
              </w:rPr>
              <w:t xml:space="preserve">。</w:t>
            </w:r>
            <w:r/>
          </w:p>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支持H.265/H.264/MJPEG编码格式</w:t>
            </w:r>
            <w:r>
              <w:rPr>
                <w:rFonts w:hint="eastAsia" w:asciiTheme="minorEastAsia" w:hAnsiTheme="minorEastAsia" w:eastAsiaTheme="minorEastAsia" w:cstheme="minorEastAsia"/>
                <w:lang w:eastAsia="zh-CN"/>
              </w:rPr>
              <w:t xml:space="preserve">。</w:t>
            </w:r>
            <w:r/>
          </w:p>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支持GB/T28181、GA/T1400和Onvif协议，确保兼容性</w:t>
            </w:r>
            <w:r>
              <w:rPr>
                <w:rFonts w:hint="eastAsia" w:asciiTheme="minorEastAsia" w:hAnsiTheme="minorEastAsia" w:eastAsiaTheme="minorEastAsia" w:cstheme="minorEastAsia"/>
                <w:lang w:eastAsia="zh-CN"/>
              </w:rPr>
              <w:t xml:space="preserve">。</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开启全结构化功能后，设备能同时检测不少于100个混合的运动目标，包括人脸、人体、车辆和非机动车4种运动目标；并支持对不少于45个目标进行跟踪、优选、抓拍及属性分析，支持将人脸与人体、车牌与车辆进行关联。</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p>
          <w:p>
            <w:pP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rPr>
              <w:t xml:space="preserve">支持机动车、非机动车、行人等目标检测功能，其中非机动车抓拍可对自行车、电瓶车、三轮车进行抓拍，支持摩托车抓拍功能</w:t>
            </w:r>
            <w:r>
              <w:rPr>
                <w:rFonts w:hint="eastAsia" w:asciiTheme="minorEastAsia" w:hAnsiTheme="minorEastAsia" w:eastAsiaTheme="minorEastAsia" w:cstheme="minorEastAsia"/>
                <w:lang w:eastAsia="zh-CN"/>
              </w:rPr>
              <w:t xml:space="preserve">。</w:t>
            </w:r>
            <w:r/>
          </w:p>
        </w:tc>
        <w:tc>
          <w:tcPr>
            <w:shd w:val="clear" w:color="auto" w:fill="auto"/>
            <w:tcBorders>
              <w:top w:val="none" w:color="000000" w:sz="4" w:space="0"/>
              <w:left w:val="single" w:color="auto" w:sz="4" w:space="0"/>
              <w:right w:val="single" w:color="auto" w:sz="4" w:space="0"/>
            </w:tcBorders>
            <w:tcW w:w="69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45</w:t>
            </w:r>
            <w:r/>
          </w:p>
        </w:tc>
      </w:tr>
      <w:tr>
        <w:trPr>
          <w:trHeight w:val="804"/>
        </w:trPr>
        <w:tc>
          <w:tcPr>
            <w:tcBorders>
              <w:left w:val="single" w:color="auto" w:sz="4" w:space="0"/>
              <w:right w:val="single" w:color="auto" w:sz="4" w:space="0"/>
            </w:tcBorders>
            <w:tcW w:w="67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112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rPr>
                <w:rFonts w:hint="eastAsia" w:asciiTheme="minorEastAsia" w:hAnsiTheme="minorEastAsia" w:eastAsiaTheme="minorEastAsia" w:cstheme="minorEastAsia"/>
                <w:color w:val="000000"/>
                <w:sz w:val="21"/>
                <w:szCs w:val="21"/>
                <w:lang w:eastAsia="zh-CN"/>
              </w:rPr>
            </w:pPr>
            <w:r>
              <w:rPr>
                <w:rFonts w:hint="eastAsia"/>
              </w:rPr>
              <w:t xml:space="preserve">★支持快速集成智能算法或应用APP，智能算法或APP可以独立升级；支持智能算法模块动态加载，加载过程中，视频业务不中断</w:t>
            </w:r>
            <w:r>
              <w:rPr>
                <w:rFonts w:hint="eastAsia"/>
                <w:lang w:eastAsia="zh-CN"/>
              </w:rPr>
              <w:t xml:space="preserve">。</w:t>
            </w:r>
            <w:r>
              <w:rPr>
                <w:rFonts w:hint="eastAsia" w:asciiTheme="minorEastAsia" w:hAnsiTheme="minorEastAsia" w:eastAsiaTheme="minorEastAsia" w:cstheme="minorEastAsia"/>
                <w:b/>
                <w:bCs/>
                <w:color w:val="000000"/>
                <w:szCs w:val="21"/>
              </w:rPr>
              <w:t xml:space="preserve">（提供有资质的第三方检测机构出具的检测报告，原件扫描上传）</w:t>
            </w:r>
            <w:r/>
          </w:p>
        </w:tc>
        <w:tc>
          <w:tcPr>
            <w:tcBorders>
              <w:left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1419"/>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bottom w:val="single" w:color="auto" w:sz="4" w:space="0"/>
              <w:right w:val="single" w:color="auto" w:sz="4" w:space="0"/>
            </w:tcBorders>
            <w:tcW w:w="1125" w:type="dxa"/>
            <w:vAlign w:val="center"/>
            <w:vMerge w:val="continue"/>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应满足内置双mic和扬声器，具有不少于1个RJ45；10M/100M/1000M、1路RS485接口、2路报警输入，1路报警输出、1路音频输入、1路音频输出、1个MicroSD卡插槽、1个复位键；供电方式：应满足AC24V、POE。</w:t>
            </w:r>
            <w:r/>
          </w:p>
          <w:p>
            <w:pPr>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防护等级：不小于IP67。</w:t>
            </w:r>
            <w:r/>
          </w:p>
          <w:p>
            <w:pPr>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auto"/>
                <w:szCs w:val="21"/>
              </w:rPr>
              <w:t xml:space="preserve">工作温度-30~60℃。</w:t>
            </w:r>
            <w:r/>
          </w:p>
        </w:tc>
        <w:tc>
          <w:tcPr>
            <w:tcBorders>
              <w:left w:val="single" w:color="auto" w:sz="4" w:space="0"/>
              <w:bottom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0"/>
        </w:trPr>
        <w:tc>
          <w:tcPr>
            <w:shd w:val="clear" w:color="auto" w:fill="auto"/>
            <w:tcBorders>
              <w:top w:val="single" w:color="auto"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w:t>
            </w:r>
            <w:r/>
          </w:p>
        </w:tc>
        <w:tc>
          <w:tcPr>
            <w:shd w:val="clear" w:color="auto" w:fill="auto"/>
            <w:tcBorders>
              <w:top w:val="single" w:color="auto" w:sz="4" w:space="0"/>
              <w:left w:val="single" w:color="auto" w:sz="4" w:space="0"/>
              <w:right w:val="single" w:color="auto" w:sz="4" w:space="0"/>
            </w:tcBorders>
            <w:tcW w:w="112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室外四摄特征抓拍</w:t>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室外四摄特征抓拍：支持不少于2个全景摄像机和2个细节摄像机组成</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内置4个CMOS图像传感器,全景靶面尺寸不小于1/1.8</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细节靶面尺寸不小于1/1.2；支持抓拍图片分辨率全景效像素不小于400万像素</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分辨率不低于2688×1520</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特写有效像素不小于800万像素</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分辨率不低于3840×2160；</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★支持内置4个算力共为20TOPS的GPU芯片 </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支持内置4个电机</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双通道均支持PT一体化云台</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通道1和通道2的云台可独立控制</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支持水平调节角度：0-180°。垂直调节角度：-5-30°； </w:t>
            </w:r>
            <w:r/>
          </w:p>
        </w:tc>
        <w:tc>
          <w:tcPr>
            <w:shd w:val="clear" w:color="auto" w:fill="auto"/>
            <w:tcBorders>
              <w:top w:val="single" w:color="auto" w:sz="4" w:space="0"/>
              <w:left w:val="single" w:color="auto" w:sz="4" w:space="0"/>
              <w:right w:val="single" w:color="auto" w:sz="4" w:space="0"/>
            </w:tcBorders>
            <w:tcW w:w="69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台</w:t>
            </w:r>
            <w:r/>
          </w:p>
        </w:tc>
        <w:tc>
          <w:tcPr>
            <w:shd w:val="clear" w:color="auto" w:fill="auto"/>
            <w:tcBorders>
              <w:top w:val="single" w:color="auto"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13</w:t>
            </w:r>
            <w:r/>
          </w:p>
        </w:tc>
      </w:tr>
      <w:tr>
        <w:trPr>
          <w:trHeight w:val="320"/>
        </w:trPr>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single" w:color="auto" w:sz="4" w:space="0"/>
              <w:right w:val="single" w:color="auto" w:sz="4" w:space="0"/>
            </w:tcBorders>
            <w:tcW w:w="112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★支持两路细节焦距不小于60mm,全景焦距不小于4mm</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支持双通道视频结构化抓拍</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可同时对监视区域内不同运动方向的行人、非机动车、机动车进行监视、跟踪、筛选、框选提示并抓拍存储图片</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★支持两路全景通道均支持通用行为分析、视频结构化智能方案；两路细节通道均支持通用行为分析、视频结构化、人脸识别智能方案；四路全景和细节通道智能方案可同时开启,支持四路结构化同时检测抓拍</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tc>
        <w:tc>
          <w:tcPr>
            <w:shd w:val="clear" w:color="auto" w:fill="auto"/>
            <w:tcBorders>
              <w:left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r>
            <w:r/>
          </w:p>
        </w:tc>
      </w:tr>
      <w:tr>
        <w:trPr>
          <w:trHeight w:val="320"/>
        </w:trPr>
        <w:tc>
          <w:tcPr>
            <w:shd w:val="clear" w:color="auto" w:fill="auto"/>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single" w:color="auto" w:sz="4" w:space="0"/>
              <w:bottom w:val="single" w:color="auto" w:sz="4" w:space="0"/>
              <w:right w:val="single" w:color="auto" w:sz="4" w:space="0"/>
            </w:tcBorders>
            <w:tcW w:w="112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支持设备双边摄像机互为180°角度进行监控</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★支持双通道均具有2颗远光混合补光灯和2颗近光混合补光灯以及</w:t>
            </w: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color w:val="000000"/>
                <w:sz w:val="21"/>
                <w:szCs w:val="21"/>
              </w:rPr>
              <w:t xml:space="preserve">颗中光混合补光灯</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每颗可对红外及白光进行独立调节</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支持具有不少于3个报警输入接口、2个报警输出接口</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2个音频输入接口</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1个音频输出接口</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★支持内置水平尺</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支持DC36V±25%宽电压输入；支持在温度不超过-40℃～+70℃，湿度不超过95%的环境下正常工作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支持IP67防护等级</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支持GB/35114A。</w:t>
            </w:r>
            <w:r/>
          </w:p>
        </w:tc>
        <w:tc>
          <w:tcPr>
            <w:shd w:val="clear" w:color="auto" w:fill="auto"/>
            <w:tcBorders>
              <w:left w:val="single" w:color="auto" w:sz="4" w:space="0"/>
              <w:bottom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r>
            <w:r/>
          </w:p>
        </w:tc>
      </w:tr>
      <w:tr>
        <w:trPr>
          <w:trHeight w:val="99"/>
        </w:trPr>
        <w:tc>
          <w:tcPr>
            <w:shd w:val="clear" w:color="auto" w:fill="auto"/>
            <w:tcBorders>
              <w:top w:val="single" w:color="auto"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w:t>
            </w:r>
            <w:r/>
          </w:p>
        </w:tc>
        <w:tc>
          <w:tcPr>
            <w:shd w:val="clear" w:color="auto" w:fill="auto"/>
            <w:tcBorders>
              <w:top w:val="single" w:color="auto" w:sz="4" w:space="0"/>
              <w:left w:val="none" w:color="000000" w:sz="4" w:space="0"/>
              <w:right w:val="single" w:color="auto" w:sz="4" w:space="0"/>
            </w:tcBorders>
            <w:tcW w:w="112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高清枪机</w:t>
            </w:r>
            <w:r/>
          </w:p>
        </w:tc>
        <w:tc>
          <w:tcPr>
            <w:shd w:val="clear" w:color="auto" w:fill="auto"/>
            <w:tcBorders>
              <w:top w:val="single" w:color="auto"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高清枪机：支持采用不低于1/1.8英寸CMOS图像传感器</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   </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支持内置GPU芯片，支持深度学习算法，有效提升检测准确率</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   </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支持超感光技术：应用于超低亮度的环境下，提升图像的清晰度保证图像效果</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   </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支持复眼补光技术，减少光污染，补光均匀性好，提升夜晚补光通透性</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   </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支持内置高效暖光灯，最大暖光监控距离40米</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   </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★支持针对人、机动车、动物3类有效目标进行检测,并触发报警和设置事件联动</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支持一键撤防，可在自定义设置的时间段内对报警输出，邮件，灯光等事件联动项进行统一撤防控制</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   </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支持ROI，SMART H.264/H.265，AI H.264/H.265，灵活编码，适用不同带宽和存储环境</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   </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支持不少于1TB Micro SD卡，内置麦克风</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  </w:t>
            </w:r>
            <w:r/>
          </w:p>
        </w:tc>
        <w:tc>
          <w:tcPr>
            <w:shd w:val="clear" w:color="auto" w:fill="auto"/>
            <w:tcBorders>
              <w:top w:val="single" w:color="auto" w:sz="4" w:space="0"/>
              <w:left w:val="none" w:color="000000" w:sz="4" w:space="0"/>
              <w:right w:val="single" w:color="auto" w:sz="4" w:space="0"/>
            </w:tcBorders>
            <w:tcW w:w="69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台</w:t>
            </w:r>
            <w:r/>
          </w:p>
        </w:tc>
        <w:tc>
          <w:tcPr>
            <w:shd w:val="clear" w:color="auto" w:fill="auto"/>
            <w:tcBorders>
              <w:top w:val="single" w:color="auto" w:sz="4" w:space="0"/>
              <w:left w:val="none" w:color="000000"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14</w:t>
            </w:r>
            <w:r/>
          </w:p>
        </w:tc>
      </w:tr>
      <w:tr>
        <w:trPr>
          <w:trHeight w:val="90"/>
        </w:trPr>
        <w:tc>
          <w:tcPr>
            <w:shd w:val="clear" w:color="auto" w:fill="auto"/>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12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★支持监控视窗倾斜角4°，有效降低鬼影影响</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支持DC12V供电方式</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支持IP67防护等级</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支持不少于4路报警输出，2路报警输出，1路音频输入输出</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支持在温度不超过-40℃～+60℃的环境下正常工作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支持在湿度不超过95%RH（无凝结）的环境下正常工作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支持GB/35114A。</w:t>
            </w:r>
            <w:r/>
          </w:p>
        </w:tc>
        <w:tc>
          <w:tcPr>
            <w:shd w:val="clear" w:color="auto" w:fill="auto"/>
            <w:tcBorders>
              <w:left w:val="none" w:color="000000" w:sz="4" w:space="0"/>
              <w:bottom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290"/>
        </w:trPr>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w:t>
            </w:r>
            <w:r/>
          </w:p>
        </w:tc>
        <w:tc>
          <w:tcPr>
            <w:shd w:val="clear" w:color="auto" w:fill="auto"/>
            <w:tcBorders>
              <w:top w:val="none" w:color="000000" w:sz="4" w:space="0"/>
              <w:left w:val="none" w:color="000000" w:sz="4" w:space="0"/>
              <w:right w:val="single" w:color="auto" w:sz="4" w:space="0"/>
            </w:tcBorders>
            <w:tcW w:w="112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人脸补光灯</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人脸补光灯： LED智能补光灯 颗数：≥48颗原装进口大功率暖光色温LED灯珠，功 率：≤50W；角度：透镜采用磨砂镜面有效减少光污染及眩目问题；色温：2800K~5500K（暖光设计）；显色指数&gt;65Ra；供电电源：AC220V（176V～264V)；最佳照射距离：16米～28米；开启方式：支持环境亮度检测，低照度下自动开启；工作环境温度：-40℃~+80℃</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★状态检查：支持通过RS485远程显示补光灯的工作状态包括正常、开启、关闭、光敏阀值、亮度等级、温度、故障状态、实时功率。</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rPr>
                <w:rFonts w:hint="eastAsia" w:asciiTheme="minorEastAsia" w:hAnsiTheme="minorEastAsia" w:eastAsiaTheme="minorEastAsia" w:cstheme="minorEastAsia"/>
                <w:color w:val="000000"/>
                <w:sz w:val="21"/>
                <w:szCs w:val="21"/>
              </w:rPr>
              <w:t xml:space="preserve">  </w:t>
            </w:r>
            <w:r/>
          </w:p>
        </w:tc>
        <w:tc>
          <w:tcPr>
            <w:shd w:val="clear" w:color="auto" w:fill="auto"/>
            <w:tcBorders>
              <w:top w:val="none" w:color="000000" w:sz="4" w:space="0"/>
              <w:left w:val="none" w:color="000000" w:sz="4" w:space="0"/>
              <w:right w:val="single" w:color="auto" w:sz="4" w:space="0"/>
            </w:tcBorders>
            <w:tcW w:w="69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套</w:t>
            </w:r>
            <w:r/>
          </w:p>
        </w:tc>
        <w:tc>
          <w:tcPr>
            <w:shd w:val="clear" w:color="auto" w:fill="auto"/>
            <w:tcBorders>
              <w:top w:val="none" w:color="000000" w:sz="4" w:space="0"/>
              <w:left w:val="none" w:color="000000"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71</w:t>
            </w:r>
            <w:r/>
          </w:p>
        </w:tc>
      </w:tr>
      <w:tr>
        <w:trPr>
          <w:trHeight w:val="290"/>
        </w:trPr>
        <w:tc>
          <w:tcPr>
            <w:shd w:val="clear" w:color="auto" w:fill="auto"/>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12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★光敏控制功能：支持通过RS485或RJ45接口远程调节光敏阈值，阈值500级可调。支持光敏阈值根据环境光照度自动适应调节。支持自适应亮灯，自适应熄灯。</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color w:val="000000"/>
                <w:sz w:val="21"/>
                <w:szCs w:val="21"/>
              </w:rPr>
              <w:t xml:space="preserve">★ 同步功能：支持补光灯与摄像机自适应同步。</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★平台控制功能：支持通过智能设备箱管理平台远程控制补光装置的开启和关闭、亮度调节、光敏阀值调节，并可在线实时检测补光装置状态。</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tc>
        <w:tc>
          <w:tcPr>
            <w:shd w:val="clear" w:color="auto" w:fill="auto"/>
            <w:tcBorders>
              <w:left w:val="none" w:color="000000" w:sz="4" w:space="0"/>
              <w:bottom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r>
            <w:r/>
          </w:p>
        </w:tc>
        <w:tc>
          <w:tcPr>
            <w:shd w:val="clear" w:color="auto" w:fill="auto"/>
            <w:tcBorders>
              <w:left w:val="none" w:color="000000"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r>
            <w:r/>
          </w:p>
        </w:tc>
      </w:tr>
      <w:tr>
        <w:trPr>
          <w:trHeight w:val="1380"/>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环境补光灯</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光源类型：16颗优质大功率暖光LED。</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最佳补光距离16米~26米。</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响应时间小于20us。</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支持环境亮度检测，低照度下自动开启。</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工作温度：温度-30℃~70℃。</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工作湿度：湿度5%~95%@40℃，无凝结。</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电源：220VAC±10%。</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功耗：35W MAX。</w:t>
            </w:r>
            <w:r/>
          </w:p>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防护等级：IP66。</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w:t>
            </w:r>
            <w:r/>
          </w:p>
        </w:tc>
      </w:tr>
      <w:tr>
        <w:trPr>
          <w:trHeight w:val="135"/>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定制支架</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直径76毫米壁厚3毫米镀锌钢管定制；长度0.6-2米，不具备安装0.6米以上长度的情况下在用高度0.8米的双层横臂；皆含全程安装轨道。含紧固螺栓，可采用主杆开孔攻丝采用螺栓固定，不得采用不锈钢喉箍捆绑固定。</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r>
      <w:tr>
        <w:trPr>
          <w:trHeight w:val="540"/>
        </w:trPr>
        <w:tc>
          <w:tcPr>
            <w:shd w:val="clear" w:color="auto" w:fill="auto"/>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10</w:t>
            </w:r>
            <w:r/>
          </w:p>
        </w:tc>
        <w:tc>
          <w:tcPr>
            <w:shd w:val="clear" w:color="auto" w:fill="auto"/>
            <w:tcBorders>
              <w:top w:val="none" w:color="000000" w:sz="4" w:space="0"/>
              <w:left w:val="none" w:color="000000" w:sz="4" w:space="0"/>
              <w:right w:val="single" w:color="auto" w:sz="4" w:space="0"/>
            </w:tcBorders>
            <w:tcW w:w="112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网络工业交换机</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网络工业交换机：支持交换容量不小于256Gbps，包转发率不小于60Mpps；支持不少于10个10/100/1000Base-T电口、2个100/1000Base-X SFP光口；支持静态配置和动态学习MAC地址；支持MAC地址表少于8K；支持LLDP协议；支持静态链路聚合功能；支持STP、RSTP；</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支持3拨码开关</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支持在APP、管理平台查看接入的交换机下终端设备(摄像机、球机、存储设备)型号</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进行统一运维管理</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支持通过APP、管理平台在系统异常时实时推送交换机告警信息并展示告警内容</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Borders>
              <w:top w:val="none" w:color="000000" w:sz="4" w:space="0"/>
              <w:left w:val="none" w:color="000000" w:sz="4" w:space="0"/>
              <w:right w:val="single" w:color="auto" w:sz="4" w:space="0"/>
            </w:tcBorders>
            <w:tcW w:w="690"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台</w:t>
            </w:r>
            <w:r/>
          </w:p>
        </w:tc>
        <w:tc>
          <w:tcPr>
            <w:shd w:val="clear" w:color="auto" w:fill="auto"/>
            <w:tcBorders>
              <w:top w:val="none" w:color="000000" w:sz="4" w:space="0"/>
              <w:left w:val="none" w:color="000000"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105</w:t>
            </w:r>
            <w:r/>
          </w:p>
        </w:tc>
      </w:tr>
      <w:tr>
        <w:trPr>
          <w:trHeight w:val="540"/>
        </w:trPr>
        <w:tc>
          <w:tcPr>
            <w:shd w:val="clear" w:color="auto" w:fill="auto"/>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12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★支持在APP、管理平台中对接入的交换机、交换机下终端设备(摄像机、球机、存储设备)进行统一管理、监控、拓扑管理、告警等功能</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支持在温度不超过-40℃～+75℃的环境下正常工作</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支持双电源</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支持导轨式安装方式</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支持IP40防护等级</w:t>
            </w:r>
            <w:r>
              <w:rPr>
                <w:rFonts w:hint="eastAsia" w:asciiTheme="minorEastAsia" w:hAnsiTheme="minorEastAsia" w:eastAsiaTheme="minorEastAsia" w:cstheme="minorEastAsia"/>
                <w:color w:val="000000"/>
                <w:sz w:val="21"/>
                <w:szCs w:val="21"/>
                <w:lang w:eastAsia="zh-CN"/>
              </w:rPr>
              <w:t xml:space="preserve">。</w:t>
            </w:r>
            <w:r/>
          </w:p>
          <w:p>
            <w:pPr>
              <w:jc w:val="left"/>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支持IK06防护等级。</w:t>
            </w:r>
            <w:r/>
          </w:p>
        </w:tc>
        <w:tc>
          <w:tcPr>
            <w:shd w:val="clear" w:color="auto" w:fill="auto"/>
            <w:tcBorders>
              <w:left w:val="none" w:color="000000" w:sz="4" w:space="0"/>
              <w:bottom w:val="single" w:color="auto" w:sz="4" w:space="0"/>
              <w:right w:val="single" w:color="auto" w:sz="4" w:space="0"/>
            </w:tcBorders>
            <w:tcW w:w="690"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90"/>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光纤收发器</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光纤收发器：</w:t>
            </w:r>
            <w:r>
              <w:rPr>
                <w:rStyle w:val="937"/>
                <w:rFonts w:hint="eastAsia" w:asciiTheme="minorEastAsia" w:hAnsiTheme="minorEastAsia" w:eastAsiaTheme="minorEastAsia" w:cstheme="minorEastAsia"/>
                <w:sz w:val="21"/>
                <w:szCs w:val="21"/>
                <w:lang w:val="en-US" w:eastAsia="zh-CN" w:bidi="ar"/>
              </w:rPr>
              <w:t xml:space="preserve">提供1个电口和1个光口，前端发射机壁挂式，后端接收机SFP光模块，传输距离40km；电接口：RJ45口，支持IEEE802.3 10Base-T、IEEE802.3u 100Base-TX、IEEE802.3ab 1000Base-T标准，速率10M/100M/10000M自适应；</w:t>
            </w:r>
            <w:r>
              <w:rPr>
                <w:rStyle w:val="937"/>
                <w:rFonts w:hint="eastAsia" w:asciiTheme="minorEastAsia" w:hAnsiTheme="minorEastAsia" w:eastAsiaTheme="minorEastAsia" w:cstheme="minorEastAsia"/>
                <w:sz w:val="21"/>
                <w:szCs w:val="21"/>
                <w:lang w:val="en-US" w:eastAsia="zh-CN" w:bidi="ar"/>
              </w:rPr>
              <w:br/>
            </w:r>
            <w:r>
              <w:rPr>
                <w:rStyle w:val="937"/>
                <w:rFonts w:hint="eastAsia" w:asciiTheme="minorEastAsia" w:hAnsiTheme="minorEastAsia" w:eastAsiaTheme="minorEastAsia" w:cstheme="minorEastAsia"/>
                <w:sz w:val="21"/>
                <w:szCs w:val="21"/>
                <w:lang w:val="en-US" w:eastAsia="zh-CN" w:bidi="ar"/>
              </w:rPr>
              <w:t xml:space="preserve">光接口：支持IEEE802.3 100Base–FX、IEEE802.3 1000Base-X标准，支持SFP可插拔光模块，单模单纤，SC、LC可选，传输距离0～40km；结构：前端采用独立式结构，全金属外壳，自然散热，后端接收采用SFP光模块（LC口），可以插入市场主流交换机的SFP插槽内；供电：采用220V/110V交直流供电，含电源适配器。</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96</w:t>
            </w:r>
            <w:r/>
          </w:p>
        </w:tc>
      </w:tr>
      <w:tr>
        <w:trPr>
          <w:trHeight w:val="3105"/>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智能控制箱 </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智能控制箱：主要包含空</w:t>
            </w:r>
            <w:r>
              <w:rPr>
                <w:rFonts w:hint="eastAsia" w:asciiTheme="minorEastAsia" w:hAnsiTheme="minorEastAsia" w:eastAsiaTheme="minorEastAsia" w:cstheme="minorEastAsia"/>
                <w:i w:val="0"/>
                <w:iCs w:val="0"/>
                <w:color w:val="000000"/>
                <w:sz w:val="21"/>
                <w:szCs w:val="21"/>
                <w:u w:val="none"/>
                <w:lang w:val="en-US" w:eastAsia="zh-CN" w:bidi="ar"/>
              </w:rPr>
              <w:t xml:space="preserve">开、防雷、4个插座、2路220V输出端子、风扇、5路DC12V、4路DC36V ；北斗定位；市电断电检测；传输网络断网检测；摄像机故障掉线检测；网络故障重启修复；补光灯状态检测（白天异常开启和晚上没正常打开）；远程定时控制供电（开、关、重启）；柜门防盗；电量检测；非法取电告警；温湿度检测；风扇温控；姿态检测、撞击告警、倾斜告警厚度1.5毫米钢板表面热镀锌、喷塑处理，高度610毫米、宽度400毫米、深度300毫米，内部机架式设计、底部按要求预留300平方厘米以上散热孔以及过滤网，顶部配置双套温度自控散热风扇。</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96</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主电源线</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主干电缆 RVV2*2.5mm2电缆</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4500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UTP6超6类室外防水网线。绝缘材质：高密度聚乙烯，原材料进口环保料。绝缘外径：1.0±0.005 mm 护套材质：内护套：HDPE料外护套：PVC+PE 护套最小厚度：0.6mm。电气性能：符合YD/T 1019-2001标准规定。导体线径：纯无氧铜 0.57mm。使用寿命：非人为或地质灾害情况下，使用寿命不低于20年。</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3000</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设备电源线</w:t>
            </w:r>
            <w:r/>
          </w:p>
        </w:tc>
        <w:tc>
          <w:tcPr>
            <w:shd w:val="clear" w:color="auto" w:fill="auto"/>
            <w:tcBorders>
              <w:top w:val="single" w:color="auto"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RVV2*1.5mm2无氧铜</w:t>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6500</w:t>
            </w:r>
            <w:r/>
          </w:p>
        </w:tc>
      </w:tr>
      <w:tr>
        <w:trPr>
          <w:trHeight w:val="537"/>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国标铠甲单模12芯</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9000</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光纤终端盒</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金属外壳、12芯SC口、配齐尾缆及法兰</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103</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特征专用杆件</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主杆高度3.5米、壁厚3.6毫米、直径102毫米，含加高接口、2.5米处预留直径40毫米穿线孔以及悬箱固定螺栓；顶部四面法兰、面部识别相机专用横臂1组，表面热镀锌、喷塑处理；横臂长度低于0.8米长度的情况下，配另一层横臂专门安装补光灯</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50</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特征专用杆件基础</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20国标钢筋*4根，高度0.65米；开挖0.6米*0.6米，深度0.8米，C30商用混凝土浇筑，包括垃圾清运。</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弱电管道</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普通土地面开挖深度0.7米埋设PE50管道；若是道板铺装路面则需要按照原有式样恢复铺装</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1000</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弱电井</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砖砌500*500通信井；铸铁承重80吨井圈井盖</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座</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25</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接地系统 </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直径16毫米铜棒、长度1.5米，从杆件基础底部打入地下、使用16平方毫米铜芯接地线引出连接箱体</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96</w:t>
            </w:r>
            <w:r/>
          </w:p>
        </w:tc>
      </w:tr>
      <w:tr>
        <w:trPr>
          <w:trHeight w:val="615"/>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辅助材料</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接插件、标签牌、警示桩等</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光汇聚交换机</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24口千兆、4光口万兆</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r>
      <w:tr>
        <w:trPr>
          <w:trHeight w:val="417"/>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光模块</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单模万兆 双纤</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w:t>
            </w:r>
            <w:r/>
          </w:p>
        </w:tc>
      </w:tr>
      <w:tr>
        <w:trPr>
          <w:trHeight w:val="447"/>
        </w:trPr>
        <w:tc>
          <w:tcPr>
            <w:shd w:val="clear" w:color="auto" w:fill="auto"/>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尾纤</w:t>
            </w:r>
            <w:r/>
          </w:p>
        </w:tc>
        <w:tc>
          <w:tcPr>
            <w:shd w:val="clear" w:color="auto" w:fill="auto"/>
            <w:tcBorders>
              <w:top w:val="none" w:color="000000"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单模双芯 30米</w:t>
            </w:r>
            <w:r/>
          </w:p>
        </w:tc>
        <w:tc>
          <w:tcPr>
            <w:shd w:val="clear" w:color="auto" w:fill="auto"/>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r>
      <w:tr>
        <w:trPr>
          <w:trHeight w:val="805"/>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旷视平台接入授权</w:t>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面部识别、身体特征</w:t>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路</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195</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理线器</w:t>
            </w:r>
            <w:r/>
          </w:p>
        </w:tc>
        <w:tc>
          <w:tcPr>
            <w:shd w:val="clear" w:color="auto" w:fill="auto"/>
            <w:tcBorders>
              <w:top w:val="single" w:color="auto" w:sz="4" w:space="0"/>
              <w:left w:val="none" w:color="000000"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钢质 24口</w:t>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r>
      <w:tr>
        <w:trPr>
          <w:trHeight w:val="540"/>
        </w:trPr>
        <w:tc>
          <w:tcPr>
            <w:shd w:val="clear" w:color="auto" w:fill="auto"/>
            <w:tcBorders>
              <w:top w:val="single" w:color="auto" w:sz="4" w:space="0"/>
              <w:left w:val="single" w:color="auto" w:sz="4" w:space="0"/>
              <w:right w:val="single" w:color="auto" w:sz="4" w:space="0"/>
            </w:tcBorders>
            <w:tcW w:w="675"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color w:val="000000"/>
                <w:sz w:val="21"/>
                <w:szCs w:val="21"/>
                <w:lang w:val="en-US" w:eastAsia="zh-CN"/>
              </w:rPr>
              <w:t xml:space="preserve">9</w:t>
            </w:r>
            <w:r/>
          </w:p>
        </w:tc>
        <w:tc>
          <w:tcPr>
            <w:shd w:val="clear" w:color="auto" w:fill="auto"/>
            <w:tcBorders>
              <w:top w:val="single" w:color="auto" w:sz="4" w:space="0"/>
              <w:left w:val="single" w:color="auto" w:sz="4" w:space="0"/>
              <w:right w:val="single" w:color="auto" w:sz="4" w:space="0"/>
            </w:tcBorders>
            <w:tcW w:w="112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云存储主机及硬盘</w:t>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云存储主机及硬盘：单机配备48块12T专用硬盘，服务器配置：≥2颗64位多核处理器，≥16GB内存，内存支持扩展到≥256GB，内置SSD固态硬盘，配置≥6个风扇，支持风扇热插拔冗余温控调速风扇；支持热插拔1+1AC220V。 </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可接入2T/3T/4T/6T/8T/10T/12T/14T/16T/18T/20T/25T/26T SATA/SAS硬盘；</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支持NL-SAS 硬盘、HDD硬盘、SSD硬盘、氦气硬盘、空气硬盘。支持 CMR或SMR硬盘。</w:t>
            </w:r>
            <w:r/>
          </w:p>
          <w:p>
            <w:pPr>
              <w:jc w:val="left"/>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支持硬盘交错/分时启动，节省功耗。</w:t>
            </w:r>
            <w:r/>
          </w:p>
        </w:tc>
        <w:tc>
          <w:tcPr>
            <w:shd w:val="clear" w:color="auto" w:fill="auto"/>
            <w:tcBorders>
              <w:top w:val="single" w:color="auto" w:sz="4" w:space="0"/>
              <w:left w:val="single" w:color="auto" w:sz="4" w:space="0"/>
              <w:right w:val="single" w:color="auto" w:sz="4" w:space="0"/>
            </w:tcBorders>
            <w:tcW w:w="69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c>
          <w:tcPr>
            <w:shd w:val="clear" w:color="auto" w:fill="auto"/>
            <w:tcBorders>
              <w:top w:val="single" w:color="auto" w:sz="4" w:space="0"/>
              <w:left w:val="single" w:color="auto" w:sz="4" w:space="0"/>
              <w:right w:val="single" w:color="auto" w:sz="4" w:space="0"/>
            </w:tcBorders>
            <w:tcW w:w="67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540"/>
        </w:trPr>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single" w:color="auto" w:sz="4" w:space="0"/>
              <w:right w:val="single" w:color="auto" w:sz="4" w:space="0"/>
            </w:tcBorders>
            <w:tcW w:w="112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具有48块硬盘热插拔插槽；支持硬盘热插拔设备在读写数据时，热插拔设备内的任意块硬盘，设备正常运行不宕机，硬盘不损坏，数据不丢失，业务不中断。</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★支持存储实时视频、视频片段、图片及伴生的智能结构化数据，支持根据结构化数据的类型检索视频，检索条件包括前端点位ID、时间段、视频目标类型（包含人、机动车、非机动车等）。</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系统支持手动、自动对智能事件关联的多个录像片段设置录像标签。</w:t>
            </w:r>
            <w:r/>
          </w:p>
        </w:tc>
        <w:tc>
          <w:tcPr>
            <w:shd w:val="clear" w:color="auto" w:fill="auto"/>
            <w:tcBorders>
              <w:left w:val="single" w:color="auto" w:sz="4" w:space="0"/>
              <w:right w:val="single" w:color="auto" w:sz="4" w:space="0"/>
            </w:tcBorders>
            <w:tcW w:w="69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r>
      <w:tr>
        <w:trPr>
          <w:trHeight w:val="540"/>
        </w:trPr>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single" w:color="auto" w:sz="4" w:space="0"/>
              <w:right w:val="single" w:color="auto" w:sz="4" w:space="0"/>
            </w:tcBorders>
            <w:tcW w:w="112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标签与其关联的录像片段同生命周期管理；支持通过按标签内容查询、回放、下载录像片段数据；支持对标签关联的录像片段进行锁定、备份；支持图形化页面对图片数据进行处理，包括图片预览、压缩、裁剪、旋转、缩放、格式转换、马赛克、归一化及打文字水印，并支持通过图形化页面下载处理成功的图片数据。</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tc>
        <w:tc>
          <w:tcPr>
            <w:shd w:val="clear" w:color="auto" w:fill="auto"/>
            <w:tcBorders>
              <w:left w:val="single" w:color="auto" w:sz="4" w:space="0"/>
              <w:right w:val="single" w:color="auto" w:sz="4" w:space="0"/>
            </w:tcBorders>
            <w:tcW w:w="69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r>
      <w:tr>
        <w:trPr>
          <w:trHeight w:val="540"/>
        </w:trPr>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single" w:color="auto" w:sz="4" w:space="0"/>
              <w:right w:val="single" w:color="auto" w:sz="4" w:space="0"/>
            </w:tcBorders>
            <w:tcW w:w="112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系统以流直存模式进行录像、图片数据存储。系统中的实时视频流、抓拍图片无需经过任何转发服务器/虚拟机即可实现数据流直存，视频与图片数据直存后可即存即取。</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支持延迟踢盘，防止误拔硬盘导致数据破坏。</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设备可对硬盘进行加密解密。</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支持录像加密功能，当前端相机不支持加密功能时，支持在数据落盘前进行加密。</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支持从存储出去的数据均为加密后的数据，下载的录像无法通过普通播放器播放，且使用专用播放器播放时，也必须经过授权才可正常解码播放。</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存储节点具有防偶发死机的措施，死机后的自愈恢复时间应≤3min。</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支持集群管理功能，包括集群单元弹性扩容、负载均衡、故障迁移等。</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支持集群节点生命周期管理，支持集群节点服务组建、扩展、删除；负载均衡：1.节点离线、磁盘离线、节点过载、扩容存储节点，自动调整录像、图片、对象业务，实现集群均衡负载；2.域内节点部分带缓存加速盘，部分不带缓存加速盘，图片数据可自动路由存储缓存加速盘。</w:t>
            </w:r>
            <w:r/>
          </w:p>
        </w:tc>
        <w:tc>
          <w:tcPr>
            <w:shd w:val="clear" w:color="auto" w:fill="auto"/>
            <w:tcBorders>
              <w:left w:val="single" w:color="auto" w:sz="4" w:space="0"/>
              <w:right w:val="single" w:color="auto" w:sz="4" w:space="0"/>
            </w:tcBorders>
            <w:tcW w:w="69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r>
      <w:tr>
        <w:trPr>
          <w:trHeight w:val="540"/>
        </w:trPr>
        <w:tc>
          <w:tcPr>
            <w:shd w:val="clear" w:color="auto" w:fill="auto"/>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Borders>
              <w:left w:val="single" w:color="auto" w:sz="4" w:space="0"/>
              <w:bottom w:val="single" w:color="auto" w:sz="4" w:space="0"/>
              <w:right w:val="single" w:color="auto" w:sz="4" w:space="0"/>
            </w:tcBorders>
            <w:tcW w:w="112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★系统支持多级加速：支持对不同规格图片数据分级加速存储，小图支持SSD缓存加速，大图支持内存加速；系统支持自定义设置内存加速缓存大小、SSD缓存加速池容量大小，可最高针对4096 KB 图片加速提取。</w:t>
            </w:r>
            <w:r>
              <w:rPr>
                <w:rFonts w:hint="eastAsia" w:asciiTheme="minorEastAsia" w:hAnsiTheme="minorEastAsia" w:eastAsiaTheme="minorEastAsia" w:cstheme="minorEastAsia"/>
                <w:b/>
                <w:bCs/>
                <w:color w:val="000000"/>
                <w:sz w:val="21"/>
                <w:szCs w:val="21"/>
                <w:highlight w:val="none"/>
              </w:rPr>
              <w:t xml:space="preserve">（提供有资质的第三方检测机构出具的检测报告，原件扫描上传）</w:t>
            </w:r>
            <w:r/>
          </w:p>
        </w:tc>
        <w:tc>
          <w:tcPr>
            <w:shd w:val="clear" w:color="auto" w:fill="auto"/>
            <w:tcBorders>
              <w:left w:val="single" w:color="auto" w:sz="4" w:space="0"/>
              <w:bottom w:val="single" w:color="auto" w:sz="4" w:space="0"/>
              <w:right w:val="single" w:color="auto" w:sz="4" w:space="0"/>
            </w:tcBorders>
            <w:tcW w:w="69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r>
      <w:tr>
        <w:trPr>
          <w:trHeight w:val="57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安装及调试费</w:t>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含3年免费维保、辅材</w:t>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387"/>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设备后期维护</w:t>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设备第四、第五年维护</w:t>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r>
      <w:tr>
        <w:trPr>
          <w:trHeight w:val="387"/>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sz w:val="21"/>
                <w:szCs w:val="21"/>
              </w:rPr>
            </w:pPr>
            <w:r>
              <w:rPr>
                <w:rFonts w:hint="eastAsia" w:ascii="宋体" w:hAnsi="宋体" w:cs="宋体"/>
                <w:color w:val="000000"/>
                <w:sz w:val="21"/>
                <w:szCs w:val="21"/>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hint="eastAsia" w:asciiTheme="minorEastAsia" w:hAnsiTheme="minorEastAsia" w:eastAsiaTheme="minorEastAsia" w:cstheme="minorEastAsia"/>
                <w:i w:val="0"/>
                <w:iCs w:val="0"/>
                <w:color w:val="000000"/>
                <w:sz w:val="21"/>
                <w:szCs w:val="21"/>
                <w:u w:val="none"/>
                <w:lang w:val="en-US" w:eastAsia="zh-CN" w:bidi="ar"/>
              </w:rPr>
            </w:pPr>
            <w:r>
              <w:rPr>
                <w:rFonts w:hint="eastAsia" w:asciiTheme="minorEastAsia" w:hAnsiTheme="minorEastAsia" w:eastAsiaTheme="minorEastAsia" w:cstheme="minorEastAsia"/>
                <w:color w:val="000000"/>
                <w:sz w:val="21"/>
                <w:szCs w:val="21"/>
                <w:lang w:bidi="ar"/>
              </w:rPr>
              <w:t xml:space="preserve">网络专线费</w:t>
            </w:r>
            <w:r/>
          </w:p>
        </w:tc>
        <w:tc>
          <w:tcPr>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center"/>
              <w:widowControl/>
              <w:rPr>
                <w:rFonts w:hint="eastAsia" w:asciiTheme="minorEastAsia" w:hAnsiTheme="minorEastAsia" w:eastAsiaTheme="minorEastAsia" w:cstheme="minorEastAsia"/>
                <w:i w:val="0"/>
                <w:iCs w:val="0"/>
                <w:color w:val="000000"/>
                <w:sz w:val="21"/>
                <w:szCs w:val="21"/>
                <w:u w:val="none"/>
                <w:lang w:val="en-US" w:eastAsia="zh-CN" w:bidi="ar"/>
              </w:rPr>
            </w:pPr>
            <w:r>
              <w:rPr>
                <w:rFonts w:hint="eastAsia" w:asciiTheme="minorEastAsia" w:hAnsiTheme="minorEastAsia" w:eastAsiaTheme="minorEastAsia" w:cstheme="minorEastAsia"/>
                <w:color w:val="000000"/>
                <w:sz w:val="21"/>
                <w:szCs w:val="21"/>
              </w:rPr>
              <w:t xml:space="preserve">租用网络运营商7条网络专线（租期3年）</w:t>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hint="eastAsia" w:asciiTheme="minorEastAsia" w:hAnsiTheme="minorEastAsia" w:eastAsiaTheme="minorEastAsia" w:cstheme="minorEastAsia"/>
                <w:i w:val="0"/>
                <w:iCs w:val="0"/>
                <w:color w:val="000000"/>
                <w:sz w:val="21"/>
                <w:szCs w:val="21"/>
                <w:u w:val="none"/>
                <w:lang w:val="en-US" w:eastAsia="zh-CN" w:bidi="ar"/>
              </w:rPr>
            </w:pPr>
            <w:r>
              <w:rPr>
                <w:rFonts w:hint="eastAsia" w:asciiTheme="minorEastAsia" w:hAnsiTheme="minorEastAsia" w:eastAsiaTheme="minorEastAsia" w:cstheme="minorEastAsia"/>
                <w:color w:val="000000"/>
                <w:sz w:val="21"/>
                <w:szCs w:val="21"/>
                <w:lang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hint="eastAsia" w:asciiTheme="minorEastAsia" w:hAnsiTheme="minorEastAsia" w:eastAsiaTheme="minorEastAsia" w:cstheme="minorEastAsia"/>
                <w:i w:val="0"/>
                <w:iCs w:val="0"/>
                <w:color w:val="000000"/>
                <w:sz w:val="21"/>
                <w:szCs w:val="21"/>
                <w:u w:val="none"/>
                <w:lang w:val="en-US" w:eastAsia="zh-CN" w:bidi="ar"/>
              </w:rPr>
            </w:pPr>
            <w:r>
              <w:rPr>
                <w:rFonts w:hint="eastAsia" w:asciiTheme="minorEastAsia" w:hAnsiTheme="minorEastAsia" w:eastAsiaTheme="minorEastAsia" w:cstheme="minorEastAsia"/>
                <w:color w:val="000000"/>
                <w:sz w:val="21"/>
                <w:szCs w:val="21"/>
                <w:lang w:bidi="ar"/>
              </w:rPr>
              <w:t xml:space="preserve">1</w:t>
            </w:r>
            <w:r/>
          </w:p>
        </w:tc>
      </w:tr>
    </w:tbl>
    <w:p>
      <w:pPr>
        <w:ind w:firstLine="422"/>
        <w:jc w:val="left"/>
        <w:spacing w:after="0" w:line="440" w:lineRule="exact"/>
        <w:rPr>
          <w:rFonts w:ascii="宋体" w:hAnsi="宋体"/>
          <w:b/>
          <w:bCs/>
          <w:sz w:val="24"/>
          <w:szCs w:val="24"/>
        </w:rPr>
        <w:outlineLvl w:val="0"/>
      </w:pPr>
      <w:r>
        <w:rPr>
          <w:rFonts w:hint="eastAsia" w:ascii="宋体" w:hAnsi="宋体"/>
          <w:b/>
          <w:bCs/>
          <w:sz w:val="24"/>
          <w:szCs w:val="24"/>
          <w:lang w:val="en-US" w:eastAsia="zh-CN"/>
        </w:rPr>
        <w:t xml:space="preserve">5</w:t>
      </w:r>
      <w:r>
        <w:rPr>
          <w:rFonts w:hint="eastAsia" w:ascii="宋体" w:hAnsi="宋体"/>
          <w:b/>
          <w:bCs/>
          <w:sz w:val="24"/>
          <w:szCs w:val="24"/>
        </w:rPr>
        <w:t xml:space="preserve">、售后服务方案</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1、售后服务内容</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投标人向采购人提供7*24小时故障报修受理服务机构的联系方式；投标人接到报修通知后，维修人员4小时内到达现场，并根据现场情况开展故障排除工作。针对前端设备故障需要返厂维修，能在24小时内提供设备备件。处理线路、软件升级等非前端设备硬件损坏故障，在24小时内恢复运行。</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2、售后服务、培训</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投标人应编制售后服务方案，方案中体现完善的售后服务体系、售后服务保证措施等。 应根据采购人的要求对设备使用提供技术培训和指导。投标人应培训方案包含：培训计划、培训对象、培训人员等。培训应对针对采购人的管理需要对培训对象分层次进行，各层次不少于2次。</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3、平台系统维护</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（1）设备维护：</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定期巡检：对监控设备进行定期巡检，确保设备正常运行。</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故障处理：及时排查和处理出现的故障，确保故障设备尽快恢复正常。</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定期更新：根据设备使用情况和需求，定期更新软件和固件，确保系统安全性。</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数据备份：定期对监控数据进行备份，以防数据丢失或损坏。</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（2）系统更新与补丁管理：</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系统补丁升级：因应用系统软件改版或功能扩充等原因进行系统升级。</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巡检服务：提供系统运行性能诊断及设备检修保养服务，减少故障发生率及延长使用周期。</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（3）安全保障：</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系统安全管理：进行系统安全管理、数据管理，根据问题性质决定解决问题的方法并跟踪其执行。</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定期诊断测试：对系统进行诊断测试，查看错误信息、性能调优、功能完善等，并提供巡检报告。</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 （4）数据管理：</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历史数据存储：平台应能够长期保存历史监控数据，供运维人员随时查询和分析。</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报表生成：支持自动生成各类监控报表，如日报、周报、月报等，帮助运维团队全面了解系统的运行状况。</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（5）服务人员配备：</w:t>
      </w:r>
      <w:r/>
    </w:p>
    <w:p>
      <w:pPr>
        <w:pStyle w:val="934"/>
        <w:ind w:firstLine="420"/>
        <w:rPr>
          <w:rFonts w:asciiTheme="minorEastAsia" w:hAnsiTheme="minorEastAsia"/>
          <w:sz w:val="24"/>
          <w:szCs w:val="24"/>
          <w:highlight w:val="none"/>
        </w:rPr>
      </w:pPr>
      <w:r>
        <w:rPr>
          <w:rFonts w:hint="eastAsia" w:asciiTheme="minorEastAsia" w:hAnsiTheme="minorEastAsia"/>
          <w:sz w:val="24"/>
          <w:szCs w:val="24"/>
          <w:highlight w:val="none"/>
        </w:rPr>
        <w:t xml:space="preserve">设立售后服务组织架构，组员包含但不限于售后服务经理、售后服务人员等。相关人员应具有专业知识和技能。并结合建设点位的覆盖范围，配置维修小组。明确各类人员的工作职责及范围。保障维修小组能够在规定的时间内完成故障点位的修复。投入售后服务经理1名、投入售后服务人员5人（不含售后服务经理）、驻驻场维护人员1人，专职在仪征市公安局为本项目提供服务。</w:t>
      </w:r>
      <w:r/>
    </w:p>
    <w:p>
      <w:pPr>
        <w:ind w:firstLine="422"/>
        <w:jc w:val="left"/>
        <w:spacing w:after="0" w:line="440" w:lineRule="exact"/>
        <w:rPr>
          <w:rFonts w:ascii="宋体" w:hAnsi="宋体"/>
          <w:b/>
          <w:bCs/>
          <w:sz w:val="24"/>
          <w:szCs w:val="24"/>
        </w:rPr>
        <w:outlineLvl w:val="0"/>
      </w:pPr>
      <w:r>
        <w:rPr>
          <w:rFonts w:hint="eastAsia" w:ascii="宋体" w:hAnsi="宋体"/>
          <w:b/>
          <w:bCs/>
          <w:sz w:val="24"/>
          <w:szCs w:val="24"/>
          <w:lang w:val="en-US" w:eastAsia="zh-CN"/>
        </w:rPr>
        <w:t xml:space="preserve">6</w:t>
      </w:r>
      <w:r>
        <w:rPr>
          <w:rFonts w:hint="eastAsia" w:ascii="宋体" w:hAnsi="宋体"/>
          <w:b/>
          <w:bCs/>
          <w:sz w:val="24"/>
          <w:szCs w:val="24"/>
        </w:rPr>
        <w:t xml:space="preserve">、系统建设实施</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1、建设原则</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本项目建设时应遵循技术先进、功能齐全、性能稳定、节约成本的原则。综合考虑后期维护及操作等因素，并为今后的扩建、改造等留有扩充的余地。建设方案应完整、全面，具有科学性、合理性及可操作性。</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2、实施要求</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(1)与仪征市公安视频图像信息应用平台系统无缝对接</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资源统一管理：建立统一的资源管理数据库，将本项目涉及的所有前端相机、后端服务器等设备信息以及视频图像数据、人员信息、车辆信息等业务数据进行集中管理。制定统一的数据标准与接口规范，确保与仪征市公安视频图像信息应用平台系统的数据格式一致，实现数据的无缝对接与共享。</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应用整合共享：对本项目开发的各类应用功能，如视频监控应用、智能分析应用等，进行整合封装，通过统一的应用接口提供给仪征市公安视频图像信息应用平台系统调用。在平台对接过程中，进行充分的测试与联调，确保应用功能在对接后能够正常运行，实现应用的整合共享。​</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(2)总体管理方案</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设备安装调试：制定详细的设备安装调试计划，明确各设备的安装位置、安装步骤与调试方法。安排专业的技术人员进行设备安装，在安装过程中严格按照设备安装手册与相关规范进行操作。设备安装完成后，及时进行调试，确保设备各项功能正常运行。</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外场立杆施工：在立杆施工前，进行详细的现场勘查，确定立杆的位置、高度与基础形式。制定立杆施工方案，包括施工流程、安全保障措施等。选用专业的施工队伍进行立杆施工，在施工过程中确保立杆的垂直度、稳定性符合要求，同时做好立杆的防锈、防腐处理。</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总体联调：在所有设备安装调试完成后，进行系统的总体联调。制定总体联调方案，明确联调的范围、步骤与测试方法。组织相关技术人员进行联调工作，对系统的各项功能进行全面测试，包括视频图像传输、智能分析、平台对接等功能，及时发现并解决联调过程中出现的问题。​</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“一机一档” 工作：安排专人负责收集整理本项目所有设备的相关信息，包括设备名称、型号、生产厂家、采购时间、安装位置、设备参数等。按照省厅、市公安局 “一机一档” 建设要求，将设备信息录入到指定的系统中，并确保信息的准确性与完整性。同时，对立杆点位信息、线路走向信息等进行整理录入，建立完善的项目档案。​</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(3)接口对接方案​</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国标、SDK 对接：本期项目所有前端相机、后端服务器等设备，按照国标 GB/T28181 标准以及现有平台要求的 SDK 接口规范进行开发对接。对于新开发的接口，组织专业的软件开发团队进行开发，确保接口的稳定性与兼容性。在接口开发完成后，进行全面的测试，包括功能测试、性能测试、兼容性测试等，确保接口能够与仪征市公安视频图像信息应用平台、人脸大数据平台实现无缝对接。</w:t>
      </w:r>
      <w:r/>
    </w:p>
    <w:p>
      <w:pPr>
        <w:pStyle w:val="934"/>
        <w:ind w:firstLine="480"/>
        <w:rPr>
          <w:rFonts w:asciiTheme="minorEastAsia" w:hAnsiTheme="minorEastAsia"/>
          <w:sz w:val="24"/>
          <w:szCs w:val="24"/>
        </w:rPr>
      </w:pPr>
      <w:r>
        <w:rPr>
          <w:rFonts w:hint="eastAsia" w:asciiTheme="minorEastAsia" w:hAnsiTheme="minorEastAsia"/>
          <w:sz w:val="24"/>
          <w:szCs w:val="24"/>
        </w:rPr>
        <w:t xml:space="preserve">远期业务系统集成对接：制定远期对接方案，明确对接的步骤、时间节点与技术路线。在项目建设过程中，预留相应的接口与数据通道，为后期实现与各业务系统的集成对接做好准备。</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(4)网络方案​</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网络现状分析：对仪征市公安现有网络架构、网络带宽、网络设备等进行全面的调研分析。了解现有网络的运行状况、存在的问题以及网络使用需求。通过网络测试工具对网络的带宽、延迟、丢包率等指标进行测试，形成详细的网络现状分析报告。​</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组网架构说明：根据项目需求与网络现状，设计合理的组网架构。采用核心层、汇聚层、接入层三层网络架构，确保网络的可靠性与扩展性。在核心层选用高性能的核心交换机，负责数据的高速转发；在汇聚层选用汇聚交换机，将多个接入层设备的数据汇聚到核心层；在接入层选用支持 PoE 供电的接入交换机，为前端相机等设备提供网络接入与供电。​</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IP 地址规划：采用合理的 IP 地址规划方法，根据设备数量与网络架构进行 IP 地址分配。选用私有 IP 地址，并结合 NAT 技术实现与外部网络的通信。按照区域、设备类型等对 IP 地址进行分段管理，便于 IP 地址的管理与维护。同时，预留一定数量的 IP 地址，为后期设备扩展提供保障。​</w:t>
      </w:r>
      <w:r/>
    </w:p>
    <w:p>
      <w:pPr>
        <w:pStyle w:val="934"/>
        <w:ind w:firstLine="420"/>
        <w:rPr>
          <w:rFonts w:ascii="Times New Roman"/>
          <w:sz w:val="24"/>
          <w:szCs w:val="24"/>
        </w:rPr>
      </w:pPr>
      <w:r>
        <w:rPr>
          <w:rFonts w:hint="eastAsia" w:asciiTheme="minorEastAsia" w:hAnsiTheme="minorEastAsia"/>
          <w:sz w:val="24"/>
          <w:szCs w:val="24"/>
        </w:rPr>
        <w:t xml:space="preserve">与现有网络对接：制定与现有网络对接的详细方案，明确对接的位置、方式与技术要求。在对接过程中，进行充分的测试与联调，确保新建设的网络与现有网络能够实现互联互通，不影响现有网络的正常运行。同时，做好网络安全防护工作，防止网络攻击与数据泄露。</w:t>
      </w:r>
      <w:r>
        <w:rPr>
          <w:rFonts w:ascii="Times New Roman"/>
          <w:sz w:val="24"/>
          <w:szCs w:val="24"/>
        </w:rPr>
        <w:t xml:space="preserve">​</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(5)进度管理方案</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供货方案：与设备供应商建立良好的合作关系，签订详细的供货合同，明确设备的供货时间、型号、数量等。制定设备采购计划，按照项目建设进度要求合理安排设备采购时间。建立设备到货验收机制，确保设备到货的及时性与质量符合要求。​</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进度控制方案：制定详细的项目进度计划，对项目进度进行可视化管理。明确项目各个阶段的任务、责任人与时间节点。建立进度跟踪机制，定期对项目进度进行检查与评估，及时发现进度偏差并采取相应的纠正措施。</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进度跟踪方案及工作措施：安排专人负责项目进度跟踪工作，每周对项目进度进行检查，收集项目进展情况信息。对项目进度进行分析，判断是否存在进度滞后的风险。如果发现进度滞后，及时组织相关人员进行原因分析，并采取增加人员、调整施工计划等措施加快项目进度，确保项目在规定期限内完成。</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(6)安全保障方案</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项目现场管理：制定项目现场管理制度，明确中标人工作人员在项目现场的行为规范。进入项目现场的车辆、设备必须按照指定的地点停放，不得随意停放妨碍施工和阻碍交通。项目结束后，中标人负责及时清理现场，恢复现场原状。如有损坏现场设施、地面等情况，必须按照相关标准进行修复。</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安全事故处理：中标人在项目实施期间，必须建立完善的安全保障体系，制定安全事故应急预案。加强对工作人员的安全教育培训，提高安全意识。如果发生安全事故、人身伤害和其它财产安全事故，中标人必须立即启动应急预案，进行事故处理，并承担全部责任。同时，及时向相关部门报告事故情况，配合相关部门进行事故调查。​</w:t>
      </w:r>
      <w:r/>
    </w:p>
    <w:p>
      <w:pPr>
        <w:ind w:firstLine="422"/>
        <w:jc w:val="left"/>
        <w:spacing w:after="0" w:line="440" w:lineRule="exact"/>
        <w:rPr>
          <w:rFonts w:ascii="宋体" w:hAnsi="宋体"/>
          <w:b/>
          <w:bCs/>
          <w:sz w:val="24"/>
          <w:szCs w:val="24"/>
        </w:rPr>
        <w:outlineLvl w:val="0"/>
      </w:pPr>
      <w:r>
        <w:rPr>
          <w:rFonts w:hint="eastAsia" w:ascii="宋体" w:hAnsi="宋体"/>
          <w:b/>
          <w:bCs/>
          <w:sz w:val="24"/>
          <w:szCs w:val="24"/>
          <w:lang w:val="en-US" w:eastAsia="zh-CN"/>
        </w:rPr>
        <w:t xml:space="preserve">7</w:t>
      </w:r>
      <w:r>
        <w:rPr>
          <w:rFonts w:hint="eastAsia" w:ascii="宋体" w:hAnsi="宋体"/>
          <w:b/>
          <w:bCs/>
          <w:sz w:val="24"/>
          <w:szCs w:val="24"/>
        </w:rPr>
        <w:t xml:space="preserve">、验收标准</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江苏省公安厅《关于加强全省社会治安监控系统联网调度和资源整合建设工作的规划指导意见》</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江苏省公安厅《社会治安监控系统布建指导意见》</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江苏省公安厅《全省公安机关道路监控网“3.20”工程建设规划及技术指导意见》（苏公厅[2010]289号）</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江苏省公安厅《全省“3.20工程”道路监控系统数据和图像采集标准及传输规范（试行）》（苏公厅[2010]526号）</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江苏省公安厅《全省“3.20工程”基础网络建设规范指导意见（试行）》（苏公厅[2010]550号）</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江苏省公安厅《江苏省道路监控网建设“3.20”工程总体方案》</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《江苏省公安厅道路监控系统前端设备招标文件》（SJC2010 070266）</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《交通技术监控成像补光装置通用技术条件》（GA/T1202-2014）</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《道路交通安全违法行为图像取证技术规范》（GA/T832-2014）</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《道路交通安全违法行为视频取证设备技术规范》（GA/T 995—2020）</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《道路交通技术监控设备运行维护规范》（GA/T 1043-2013）</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《安全防范工程通用规范》(GB 55029-2022  )</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《视频安防监控系统工程设计规范》(中华人民共和国国家标准 GB50395-2007)</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《交通电视监视系统工程验收规范》 (GA/T514-2004)</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《公安交通指挥系统设计规范 第4部分:制图》（GA/T 515.4-2011）</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《公安交通管理设备外场设备施工要求》（GA/T652-2017）</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《民用闭路监视电视系统工程技术规范(附条文说明)》 （GB 50198-2011）</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《信息技术 软件生存周期过程》（GB/T 8566-2007）</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《安全防范工程程序与要求》 (GA/T75-94)</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《电子政务标准化指南 第3部分:网络建设》（GB/T 30850.3-2014  ）</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GB/T 2423.1  电工电子产品环境试验 第2部分：试验方法 试验A：低温</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GB/T 2423.2  电工电子产品环境试验 第2部分：试验方法 试验B：高温</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GB/T 2423.3  电工电子产品环境试验 第2部分：试验方法 试验Cab：恒定湿热试验</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GB/T 2423.5  电工电子产品环境试验 第2部分：试验方法 试验Ea和导则：冲击</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GB/T 2423.10 电工电子产品环境试验 第2部分：试验方法 试验Fc：振动（正弦）</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GB/T 17626.2 电磁兼容 试验和测量技术 静电放电抗扰度试验</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GB/T 17626.4 电磁兼容 试验和测量技术 电快速瞬变脉冲群抗扰度试验</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GB/T 17626.5 电磁兼容 试验和测量技术 浪涌（冲击）抗扰度试验</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GB/T 17626.11电磁兼容 试验和测量技术 电压暂降、短时中断和电压变化的抗扰度试验</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安全设备必须符合“公安部300系列安全标准”的要求</w:t>
      </w:r>
      <w:r/>
    </w:p>
    <w:p>
      <w:pPr>
        <w:pStyle w:val="934"/>
        <w:ind w:firstLine="420"/>
        <w:rPr>
          <w:rFonts w:asciiTheme="minorEastAsia" w:hAnsiTheme="minorEastAsia"/>
          <w:sz w:val="24"/>
          <w:szCs w:val="24"/>
        </w:rPr>
      </w:pPr>
      <w:r>
        <w:rPr>
          <w:rFonts w:hint="eastAsia" w:asciiTheme="minorEastAsia" w:hAnsiTheme="minorEastAsia"/>
          <w:sz w:val="24"/>
          <w:szCs w:val="24"/>
        </w:rPr>
        <w:t xml:space="preserve">满足所有硬件产品均符合国产化要求</w:t>
      </w:r>
      <w:r/>
    </w:p>
    <w:p>
      <w:pPr>
        <w:pStyle w:val="934"/>
        <w:ind w:firstLine="420"/>
        <w:rPr>
          <w:rFonts w:hint="eastAsia" w:asciiTheme="minorEastAsia" w:hAnsiTheme="minorEastAsia"/>
          <w:sz w:val="24"/>
          <w:szCs w:val="24"/>
        </w:rPr>
      </w:pPr>
      <w:r>
        <w:rPr>
          <w:rFonts w:hint="eastAsia" w:asciiTheme="minorEastAsia" w:hAnsiTheme="minorEastAsia"/>
          <w:sz w:val="24"/>
          <w:szCs w:val="24"/>
        </w:rPr>
        <w:t xml:space="preserve">上述规范以外，遵循国家现行规范。</w:t>
      </w:r>
      <w:r/>
    </w:p>
    <w:p>
      <w:pPr>
        <w:pStyle w:val="884"/>
        <w:rPr>
          <w:rFonts w:hint="eastAsia"/>
          <w:b/>
          <w:color w:val="auto"/>
          <w:sz w:val="24"/>
          <w:szCs w:val="24"/>
          <w:highlight w:val="none"/>
          <w:lang w:val="en-US" w:eastAsia="zh-CN"/>
        </w:rPr>
      </w:pPr>
      <w:r>
        <w:rPr>
          <w:rFonts w:hint="eastAsia"/>
          <w:b/>
          <w:color w:val="auto"/>
          <w:sz w:val="24"/>
          <w:szCs w:val="24"/>
          <w:highlight w:val="none"/>
          <w:lang w:val="en-US" w:eastAsia="zh-CN"/>
        </w:rPr>
      </w:r>
      <w:r/>
    </w:p>
    <w:p>
      <w:pPr>
        <w:pStyle w:val="884"/>
        <w:rPr>
          <w:b/>
          <w:color w:val="auto"/>
          <w:sz w:val="24"/>
          <w:szCs w:val="24"/>
          <w:highlight w:val="none"/>
        </w:rPr>
      </w:pPr>
      <w:r>
        <w:rPr>
          <w:rFonts w:hint="eastAsia"/>
          <w:b/>
          <w:color w:val="auto"/>
          <w:sz w:val="24"/>
          <w:szCs w:val="24"/>
          <w:highlight w:val="none"/>
          <w:lang w:val="en-US" w:eastAsia="zh-CN"/>
        </w:rPr>
        <w:t xml:space="preserve">五</w:t>
      </w:r>
      <w:r>
        <w:rPr>
          <w:rFonts w:hint="eastAsia"/>
          <w:b/>
          <w:color w:val="auto"/>
          <w:sz w:val="24"/>
          <w:szCs w:val="24"/>
          <w:highlight w:val="none"/>
          <w:lang w:eastAsia="zh-CN"/>
        </w:rPr>
        <w:t xml:space="preserve">、</w:t>
      </w:r>
      <w:r>
        <w:rPr>
          <w:rFonts w:hint="eastAsia"/>
          <w:b/>
          <w:color w:val="auto"/>
          <w:sz w:val="24"/>
          <w:szCs w:val="24"/>
          <w:highlight w:val="none"/>
        </w:rPr>
        <w:t xml:space="preserve">付款方式</w:t>
      </w:r>
      <w:bookmarkEnd w:id="56"/>
      <w:r/>
      <w:bookmarkEnd w:id="57"/>
      <w:r/>
      <w:r/>
    </w:p>
    <w:p>
      <w:pPr>
        <w:numPr>
          <w:ilvl w:val="0"/>
          <w:numId w:val="0"/>
        </w:numPr>
        <w:ind w:firstLine="480"/>
        <w:spacing w:after="156" w:line="360" w:lineRule="auto"/>
        <w:rPr>
          <w:rFonts w:hint="eastAsia" w:ascii="宋体" w:hAnsi="宋体"/>
          <w:bCs/>
          <w:color w:val="auto"/>
          <w:sz w:val="24"/>
          <w:szCs w:val="24"/>
          <w:highlight w:val="none"/>
          <w:u w:val="single"/>
          <w:lang w:eastAsia="zh-CN"/>
        </w:rPr>
      </w:pP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none"/>
          <w:lang w:val="en-US" w:eastAsia="zh-CN"/>
        </w:rPr>
        <w:t xml:space="preserve">1</w:t>
      </w: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single"/>
          <w:lang w:eastAsia="zh-CN"/>
        </w:rPr>
        <w:t xml:space="preserve">合同签订后，甲方自收到发票之日（乙方开票日期）起10个工作日内支付乙方合同金额30%的预付款；</w:t>
      </w:r>
      <w:r/>
    </w:p>
    <w:p>
      <w:pPr>
        <w:numPr>
          <w:ilvl w:val="0"/>
          <w:numId w:val="0"/>
        </w:numPr>
        <w:ind w:firstLine="480"/>
        <w:spacing w:after="156" w:line="360" w:lineRule="auto"/>
        <w:rPr>
          <w:rFonts w:hint="eastAsia" w:ascii="宋体" w:hAnsi="宋体"/>
          <w:bCs/>
          <w:color w:val="auto"/>
          <w:sz w:val="24"/>
          <w:szCs w:val="24"/>
          <w:highlight w:val="none"/>
          <w:u w:val="single"/>
          <w:lang w:eastAsia="zh-CN"/>
        </w:rPr>
      </w:pP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none"/>
          <w:lang w:val="en-US" w:eastAsia="zh-CN"/>
        </w:rPr>
        <w:t xml:space="preserve">2</w:t>
      </w: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single"/>
          <w:lang w:eastAsia="zh-CN"/>
        </w:rPr>
        <w:t xml:space="preserve">项目建设完毕，并实现所有数据与仪征市公安视频图像信息应用平台级联互通后，甲方自收到发票之日（乙方开票日期）起10个工作日内支付乙方合同总价的10%；</w:t>
      </w:r>
      <w:r/>
    </w:p>
    <w:p>
      <w:pPr>
        <w:numPr>
          <w:ilvl w:val="0"/>
          <w:numId w:val="0"/>
        </w:numPr>
        <w:ind w:firstLine="480"/>
        <w:spacing w:after="156" w:line="360" w:lineRule="auto"/>
        <w:rPr>
          <w:rFonts w:hint="eastAsia" w:ascii="宋体" w:hAnsi="宋体"/>
          <w:bCs/>
          <w:color w:val="auto"/>
          <w:sz w:val="24"/>
          <w:szCs w:val="24"/>
          <w:highlight w:val="none"/>
          <w:u w:val="none"/>
          <w:lang w:eastAsia="zh-CN"/>
        </w:rPr>
      </w:pPr>
      <w:r>
        <w:rPr>
          <w:rFonts w:hint="eastAsia" w:ascii="宋体" w:hAnsi="宋体"/>
          <w:bCs/>
          <w:color w:val="auto"/>
          <w:sz w:val="24"/>
          <w:szCs w:val="24"/>
          <w:highlight w:val="none"/>
          <w:u w:val="none"/>
          <w:lang w:eastAsia="zh-CN"/>
        </w:rPr>
        <w:t xml:space="preserve">（3）</w:t>
      </w:r>
      <w:r>
        <w:rPr>
          <w:rFonts w:hint="eastAsia" w:ascii="宋体" w:hAnsi="宋体"/>
          <w:bCs/>
          <w:color w:val="auto"/>
          <w:sz w:val="24"/>
          <w:szCs w:val="24"/>
          <w:highlight w:val="none"/>
          <w:u w:val="single"/>
          <w:lang w:eastAsia="zh-CN"/>
        </w:rPr>
        <w:t xml:space="preserve">项目试运行三个月，验收合格并审计结束后，甲方自收到发票之日起10个工作日内支付结算审定价的余款。</w:t>
      </w:r>
      <w:r/>
    </w:p>
    <w:p>
      <w:pPr>
        <w:numPr>
          <w:ilvl w:val="0"/>
          <w:numId w:val="0"/>
        </w:numPr>
        <w:ind w:firstLine="482"/>
        <w:spacing w:after="156" w:line="400" w:lineRule="exact"/>
        <w:rPr>
          <w:color w:val="auto"/>
          <w:sz w:val="24"/>
          <w:szCs w:val="24"/>
          <w:highlight w:val="none"/>
        </w:rPr>
      </w:pPr>
      <w:r>
        <w:rPr>
          <w:rFonts w:hint="eastAsia" w:ascii="宋体" w:hAnsi="宋体" w:cs="Times New Roman"/>
          <w:b/>
          <w:bCs/>
          <w:color w:val="auto"/>
          <w:sz w:val="24"/>
          <w:szCs w:val="24"/>
          <w:highlight w:val="none"/>
          <w:lang w:val="en-US" w:eastAsia="zh-CN"/>
        </w:rPr>
        <w:t xml:space="preserve">六、</w:t>
      </w:r>
      <w:r>
        <w:rPr>
          <w:rFonts w:hint="eastAsia" w:ascii="宋体" w:hAnsi="宋体" w:eastAsia="宋体" w:cs="Times New Roman"/>
          <w:b/>
          <w:bCs/>
          <w:color w:val="auto"/>
          <w:sz w:val="24"/>
          <w:szCs w:val="24"/>
          <w:highlight w:val="none"/>
          <w:lang w:val="en-US" w:eastAsia="zh-CN"/>
        </w:rPr>
        <w:t xml:space="preserve">其他：</w:t>
      </w:r>
      <w:r>
        <w:rPr>
          <w:rFonts w:hint="eastAsia" w:ascii="宋体" w:hAnsi="宋体"/>
          <w:b/>
          <w:color w:val="auto"/>
          <w:sz w:val="24"/>
          <w:szCs w:val="24"/>
          <w:highlight w:val="none"/>
        </w:rPr>
        <w:t xml:space="preserve">本</w:t>
      </w:r>
      <w:r>
        <w:rPr>
          <w:rFonts w:hint="eastAsia" w:ascii="宋体" w:hAnsi="宋体" w:eastAsia="宋体" w:cs="Times New Roman"/>
          <w:b/>
          <w:bCs/>
          <w:color w:val="auto"/>
          <w:sz w:val="24"/>
          <w:szCs w:val="24"/>
          <w:highlight w:val="none"/>
          <w:lang w:val="en-US" w:eastAsia="zh-CN" w:bidi="ar-SA"/>
        </w:rPr>
        <w:t xml:space="preserve">项目为电子投标，中标单位在领取成交通知书时需递交二份完整的投标书。</w:t>
      </w:r>
      <w:r/>
    </w:p>
    <w:p>
      <w:pPr>
        <w:pStyle w:val="875"/>
        <w:rPr>
          <w:rFonts w:hint="eastAsia"/>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pStyle w:val="873"/>
        <w:jc w:val="center"/>
        <w:rPr>
          <w:rFonts w:hint="eastAsia" w:ascii="宋体" w:hAnsi="宋体"/>
          <w:color w:val="auto"/>
          <w:sz w:val="36"/>
          <w:highlight w:val="none"/>
        </w:rPr>
      </w:pPr>
      <w:r/>
      <w:bookmarkStart w:id="60" w:name="_Toc501353475"/>
      <w:r/>
      <w:bookmarkStart w:id="61" w:name="_Toc12363"/>
      <w:r/>
      <w:bookmarkStart w:id="62" w:name="_Hlk525739388"/>
      <w:r>
        <w:rPr>
          <w:rFonts w:hint="eastAsia" w:ascii="宋体" w:hAnsi="宋体"/>
          <w:color w:val="auto"/>
          <w:sz w:val="36"/>
          <w:highlight w:val="none"/>
        </w:rPr>
        <w:t xml:space="preserve">第五章 评标方法及评标标准</w:t>
      </w:r>
      <w:bookmarkEnd w:id="60"/>
      <w:r/>
      <w:bookmarkEnd w:id="61"/>
      <w:r/>
      <w:r/>
    </w:p>
    <w:p>
      <w:pPr>
        <w:pStyle w:val="920"/>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一、评标方法</w:t>
      </w:r>
      <w:r/>
    </w:p>
    <w:p>
      <w:pPr>
        <w:ind w:firstLine="420"/>
        <w:spacing w:line="360" w:lineRule="auto"/>
        <w:rPr>
          <w:rFonts w:ascii="宋体" w:hAnsi="宋体"/>
          <w:color w:val="000000"/>
          <w:sz w:val="21"/>
          <w:szCs w:val="21"/>
        </w:rPr>
      </w:pPr>
      <w:r>
        <w:rPr>
          <w:rFonts w:ascii="宋体" w:hAnsi="宋体"/>
          <w:color w:val="000000"/>
          <w:sz w:val="21"/>
          <w:szCs w:val="21"/>
        </w:rPr>
        <w:t xml:space="preserve">采用综合评分法的，评标结果按评审后得分由高到低顺序排列。得分相同的，按投标报价由低到高顺序排列。得分且投标报价相同的并列。</w:t>
      </w:r>
      <w:r/>
    </w:p>
    <w:tbl>
      <w:tblPr>
        <w:tblStyle w:val="878"/>
        <w:tblW w:w="8322"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0"/>
        <w:gridCol w:w="1815"/>
        <w:gridCol w:w="4647"/>
      </w:tblGrid>
      <w:tr>
        <w:trPr/>
        <w:tc>
          <w:tcPr>
            <w:tcW w:w="1860"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采购包号</w:t>
            </w:r>
            <w:r/>
          </w:p>
        </w:tc>
        <w:tc>
          <w:tcPr>
            <w:tcW w:w="1815"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选取</w:t>
            </w:r>
            <w:r>
              <w:rPr>
                <w:rFonts w:ascii="宋体" w:hAnsi="宋体"/>
                <w:sz w:val="21"/>
                <w:szCs w:val="21"/>
              </w:rPr>
              <w:t xml:space="preserve">中标候选人数量</w:t>
            </w:r>
            <w:r/>
          </w:p>
        </w:tc>
        <w:tc>
          <w:tcPr>
            <w:tcW w:w="4647"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选取</w:t>
            </w:r>
            <w:r>
              <w:rPr>
                <w:rFonts w:ascii="宋体" w:hAnsi="宋体"/>
                <w:sz w:val="21"/>
                <w:szCs w:val="21"/>
              </w:rPr>
              <w:t xml:space="preserve">中标候选人的原则</w:t>
            </w:r>
            <w:r/>
          </w:p>
        </w:tc>
      </w:tr>
      <w:tr>
        <w:trPr/>
        <w:tc>
          <w:tcPr>
            <w:tcW w:w="1860"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1</w:t>
            </w:r>
            <w:r/>
          </w:p>
        </w:tc>
        <w:tc>
          <w:tcPr>
            <w:tcW w:w="1815" w:type="dxa"/>
            <w:vAlign w:val="center"/>
            <w:textDirection w:val="lrTb"/>
            <w:noWrap w:val="false"/>
          </w:tcPr>
          <w:p>
            <w:pPr>
              <w:jc w:val="center"/>
              <w:spacing w:line="360" w:lineRule="auto"/>
              <w:rPr>
                <w:rFonts w:hint="eastAsia" w:ascii="宋体" w:hAnsi="宋体" w:eastAsia="宋体"/>
                <w:color w:val="auto"/>
                <w:sz w:val="21"/>
                <w:szCs w:val="21"/>
                <w:lang w:eastAsia="zh-CN"/>
              </w:rPr>
            </w:pPr>
            <w:r>
              <w:rPr>
                <w:rFonts w:hint="eastAsia" w:ascii="宋体" w:hAnsi="宋体"/>
                <w:color w:val="auto"/>
                <w:sz w:val="21"/>
                <w:szCs w:val="21"/>
                <w:lang w:val="en-US" w:eastAsia="zh-CN"/>
              </w:rPr>
              <w:t xml:space="preserve">1</w:t>
            </w:r>
            <w:r/>
          </w:p>
        </w:tc>
        <w:tc>
          <w:tcPr>
            <w:tcW w:w="4647" w:type="dxa"/>
            <w:vAlign w:val="center"/>
            <w:textDirection w:val="lrTb"/>
            <w:noWrap w:val="false"/>
          </w:tcPr>
          <w:p>
            <w:pPr>
              <w:jc w:val="center"/>
              <w:spacing w:line="360" w:lineRule="auto"/>
              <w:rPr>
                <w:rFonts w:hint="eastAsia" w:ascii="宋体" w:hAnsi="宋体"/>
                <w:sz w:val="21"/>
                <w:szCs w:val="21"/>
              </w:rPr>
            </w:pPr>
            <w:r/>
            <w:bookmarkStart w:id="63" w:name="OLE_LINK7"/>
            <w:r>
              <w:rPr>
                <w:rFonts w:hint="eastAsia" w:ascii="宋体" w:hAnsi="宋体"/>
                <w:sz w:val="21"/>
                <w:szCs w:val="21"/>
              </w:rPr>
              <w:t xml:space="preserve">满足招标文件全部实质性要求，且按照评审因素的量化指标评审得分最高的投标人为中标候选人。</w:t>
            </w:r>
            <w:bookmarkEnd w:id="63"/>
            <w:r/>
            <w:r/>
          </w:p>
        </w:tc>
      </w:tr>
      <w:tr>
        <w:trPr/>
        <w:tc>
          <w:tcPr>
            <w:tcW w:w="1860"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2</w:t>
            </w:r>
            <w:r/>
          </w:p>
        </w:tc>
        <w:tc>
          <w:tcPr>
            <w:tcW w:w="1815" w:type="dxa"/>
            <w:vAlign w:val="center"/>
            <w:textDirection w:val="lrTb"/>
            <w:noWrap w:val="false"/>
          </w:tcPr>
          <w:p>
            <w:pPr>
              <w:jc w:val="center"/>
              <w:spacing w:line="360" w:lineRule="auto"/>
              <w:rPr>
                <w:rFonts w:hint="eastAsia" w:ascii="宋体" w:hAnsi="宋体" w:eastAsia="宋体"/>
                <w:color w:val="auto"/>
                <w:sz w:val="21"/>
                <w:szCs w:val="21"/>
                <w:lang w:eastAsia="zh-CN"/>
              </w:rPr>
            </w:pPr>
            <w:r>
              <w:rPr>
                <w:rFonts w:hint="eastAsia" w:ascii="宋体" w:hAnsi="宋体"/>
                <w:color w:val="auto"/>
                <w:sz w:val="21"/>
                <w:szCs w:val="21"/>
                <w:lang w:val="en-US" w:eastAsia="zh-CN"/>
              </w:rPr>
              <w:t xml:space="preserve">1</w:t>
            </w:r>
            <w:r/>
          </w:p>
        </w:tc>
        <w:tc>
          <w:tcPr>
            <w:tcW w:w="4647"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满足招标文件全部实质性要求，且按照评审因素的量化指标评审得分最高的投标人为中标候选人。</w:t>
            </w:r>
            <w:r/>
          </w:p>
        </w:tc>
      </w:tr>
    </w:tbl>
    <w:p>
      <w:pPr>
        <w:ind w:firstLine="422"/>
        <w:spacing w:before="120" w:after="120" w:line="360" w:lineRule="auto"/>
        <w:rPr>
          <w:rFonts w:hint="eastAsia" w:ascii="宋体" w:hAnsi="宋体"/>
          <w:b/>
          <w:color w:val="auto"/>
          <w:szCs w:val="21"/>
          <w:highlight w:val="none"/>
        </w:rPr>
      </w:pPr>
      <w:r/>
      <w:bookmarkStart w:id="64" w:name="_Toc449017024"/>
      <w:r/>
      <w:bookmarkStart w:id="65" w:name="_Toc449016388"/>
      <w:r>
        <w:rPr>
          <w:rFonts w:hint="eastAsia" w:ascii="宋体" w:hAnsi="宋体"/>
          <w:b/>
          <w:color w:val="auto"/>
          <w:szCs w:val="21"/>
          <w:highlight w:val="none"/>
        </w:rPr>
        <w:t xml:space="preserve">二、政府采购政策功能落实</w:t>
      </w:r>
      <w:bookmarkEnd w:id="64"/>
      <w:r/>
      <w:bookmarkEnd w:id="65"/>
      <w:r/>
      <w:r/>
    </w:p>
    <w:p>
      <w:pPr>
        <w:pStyle w:val="920"/>
        <w:ind w:firstLine="420"/>
        <w:rPr>
          <w:rFonts w:ascii="宋体" w:hAnsi="宋体"/>
          <w:color w:val="auto"/>
          <w:sz w:val="21"/>
          <w:szCs w:val="21"/>
          <w:highlight w:val="none"/>
        </w:rPr>
      </w:pPr>
      <w:r>
        <w:rPr>
          <w:rFonts w:hint="eastAsia" w:ascii="宋体" w:hAnsi="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315" w:firstLine="105"/>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1、小微型企业价格扣除</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（1）本项目对小型和微型企业产品给予</w:t>
      </w:r>
      <w:r>
        <w:rPr>
          <w:rFonts w:ascii="宋体" w:hAnsi="宋体"/>
          <w:color w:val="auto"/>
          <w:szCs w:val="21"/>
          <w:highlight w:val="none"/>
        </w:rPr>
        <w:t xml:space="preserve">20</w:t>
      </w:r>
      <w:r>
        <w:rPr>
          <w:rFonts w:hint="eastAsia" w:ascii="宋体" w:hAnsi="宋体"/>
          <w:color w:val="auto"/>
          <w:szCs w:val="21"/>
          <w:highlight w:val="none"/>
        </w:rPr>
        <w:t xml:space="preserve">%的扣除价格，用扣除后的价格参与评审。</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（2）供应商需按照采购文件的要求提供相应的《企业声明函》。</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2、残疾人福利单位价格扣除</w:t>
      </w:r>
      <w:r/>
    </w:p>
    <w:p>
      <w:pPr>
        <w:ind w:left="315" w:firstLine="105"/>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（1）本项目对残疾人福利性单位视同小型、微型企业，给予</w:t>
      </w:r>
      <w:r>
        <w:rPr>
          <w:rFonts w:ascii="宋体" w:hAnsi="宋体"/>
          <w:color w:val="auto"/>
          <w:szCs w:val="21"/>
          <w:highlight w:val="none"/>
        </w:rPr>
        <w:t xml:space="preserve">20</w:t>
      </w:r>
      <w:r>
        <w:rPr>
          <w:rFonts w:hint="eastAsia" w:ascii="宋体" w:hAnsi="宋体"/>
          <w:color w:val="auto"/>
          <w:szCs w:val="21"/>
          <w:highlight w:val="none"/>
        </w:rPr>
        <w:t xml:space="preserve">%的价格扣除，用扣除</w:t>
      </w:r>
      <w:r/>
    </w:p>
    <w:p>
      <w:p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〔2017〕141号）。</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（1）本项目对监狱和戒毒企业（简称监狱企业）视同小型、微型企业，给予20%的价</w:t>
      </w:r>
      <w:r/>
    </w:p>
    <w:p>
      <w:p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格扣除，用扣除后的价格参与评审。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疆生产建设兵团)出具的属于监狱企业的证明文件。供应商如不提供上述证明文件，价格将</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不做相应扣除。</w:t>
      </w:r>
      <w:r/>
    </w:p>
    <w:p>
      <w:pPr>
        <w:numPr>
          <w:ilvl w:val="0"/>
          <w:numId w:val="3"/>
        </w:numPr>
        <w:ind w:left="420"/>
        <w:jc w:val="left"/>
        <w:spacing w:before="120" w:after="120" w:line="360" w:lineRule="auto"/>
        <w:rPr>
          <w:rFonts w:hint="eastAsia" w:ascii="宋体" w:hAnsi="宋体"/>
          <w:color w:val="auto"/>
          <w:szCs w:val="21"/>
          <w:highlight w:val="none"/>
        </w:rPr>
      </w:pPr>
      <w:r>
        <w:rPr>
          <w:rFonts w:hint="eastAsia" w:ascii="宋体" w:hAnsi="宋体"/>
          <w:color w:val="auto"/>
          <w:szCs w:val="21"/>
          <w:highlight w:val="none"/>
        </w:rPr>
        <w:t xml:space="preserve">监狱企业标准请参照《关于政府采购支持监狱企业发展有关问题的通知》（财库</w:t>
      </w:r>
      <w:r/>
    </w:p>
    <w:p>
      <w:pPr>
        <w:numPr>
          <w:ilvl w:val="0"/>
          <w:numId w:val="0"/>
        </w:num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[2014]68号）。</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5、大中型企业和其他自然人、法人或者其他组织并与小型、微型企业（残疾人福利单</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位、监狱企业）组成联合体共同参加政府采购活动。联合协议中约定，小型、微型企业（残</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疾人福利单位、监狱企业）的协议合同金额占到联合体协议合同总金额30%以上的，给予联</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合体6%的价格扣除，用扣除后的价格参与评审。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6、联合体各方均为小型、微型企业（残疾人福利单位、监狱企业）的，联合体享受20%</w:t>
      </w:r>
      <w:r/>
    </w:p>
    <w:p>
      <w:pPr>
        <w:ind w:left="420" w:hanging="420"/>
        <w:jc w:val="left"/>
        <w:spacing w:before="120" w:after="120" w:line="360" w:lineRule="auto"/>
        <w:rPr>
          <w:rFonts w:hint="eastAsia" w:ascii="宋体" w:hAnsi="宋体"/>
          <w:color w:val="auto"/>
          <w:szCs w:val="21"/>
          <w:highlight w:val="none"/>
        </w:rPr>
      </w:pPr>
      <w:r>
        <w:rPr>
          <w:rFonts w:hint="eastAsia" w:ascii="宋体" w:hAnsi="宋体"/>
          <w:color w:val="auto"/>
          <w:szCs w:val="21"/>
          <w:highlight w:val="none"/>
        </w:rPr>
        <w:t xml:space="preserve">价格扣除，用扣除后的价格参与评审。</w:t>
      </w:r>
      <w:r/>
    </w:p>
    <w:p>
      <w:pPr>
        <w:ind w:left="315" w:firstLine="105"/>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7、采购本国产品的支持政策</w:t>
      </w:r>
      <w:r/>
    </w:p>
    <w:p>
      <w:pPr>
        <w:ind w:firstLine="420"/>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left="420"/>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420"/>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供应商需按照招标文件的要求提供《关于符合本国产品标准的声明函》（以下简称《声明函》），如不提供将不享受本国产品价格评审优惠。</w:t>
      </w:r>
      <w:r/>
    </w:p>
    <w:p>
      <w:pPr>
        <w:ind w:left="420"/>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420"/>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 xml:space="preserve">三、</w:t>
      </w:r>
      <w:r>
        <w:rPr>
          <w:rFonts w:hint="eastAsia" w:ascii="宋体" w:hAnsi="宋体"/>
          <w:b/>
          <w:color w:val="auto"/>
          <w:szCs w:val="21"/>
          <w:highlight w:val="none"/>
        </w:rPr>
        <w:t xml:space="preserve">评标标准</w:t>
      </w:r>
      <w:bookmarkEnd w:id="62"/>
      <w:r/>
      <w:bookmarkStart w:id="66" w:name="_Toc9577"/>
      <w:r/>
      <w:r/>
    </w:p>
    <w:p>
      <w:pPr>
        <w:pStyle w:val="879"/>
        <w:rPr>
          <w:rFonts w:hint="default" w:eastAsia="宋体"/>
          <w:highlight w:val="none"/>
          <w:lang w:val="en-US" w:eastAsia="zh-CN"/>
        </w:rPr>
      </w:pPr>
      <w:r>
        <w:rPr>
          <w:rFonts w:hint="eastAsia" w:hAnsi="宋体"/>
          <w:b/>
          <w:color w:val="auto"/>
          <w:szCs w:val="21"/>
          <w:highlight w:val="none"/>
          <w:lang w:val="en-US" w:eastAsia="zh-CN"/>
        </w:rPr>
        <w:t xml:space="preserve">分包1</w:t>
      </w:r>
      <w:r/>
    </w:p>
    <w:tbl>
      <w:tblPr>
        <w:tblStyle w:val="878"/>
        <w:tblpPr w:horzAnchor="page" w:tblpXSpec="center" w:vertAnchor="text" w:tblpY="168" w:leftFromText="180" w:topFromText="0" w:rightFromText="180" w:bottomFromText="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250"/>
        <w:gridCol w:w="8308"/>
      </w:tblGrid>
      <w:tr>
        <w:trPr>
          <w:jc w:val="center"/>
          <w:trHeight w:val="354"/>
        </w:trPr>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894"/>
              <w:jc w:val="center"/>
              <w:spacing w:before="0" w:beforeAutospacing="0" w:after="0" w:afterAutospacing="0"/>
              <w:rPr>
                <w:rFonts w:hint="eastAsia" w:eastAsia="宋体"/>
                <w:b/>
                <w:bCs w:val="0"/>
                <w:color w:val="auto"/>
                <w:highlight w:val="none"/>
                <w:lang w:eastAsia="zh-CN"/>
              </w:rPr>
            </w:pPr>
            <w:r>
              <w:rPr>
                <w:rFonts w:hint="eastAsia"/>
                <w:b/>
                <w:bCs w:val="0"/>
                <w:color w:val="auto"/>
                <w:highlight w:val="none"/>
                <w:lang w:val="en-US" w:eastAsia="zh-CN"/>
              </w:rPr>
              <w:t xml:space="preserve">评分因素</w:t>
            </w:r>
            <w:r/>
          </w:p>
        </w:tc>
        <w:tc>
          <w:tcPr>
            <w:tcBorders>
              <w:top w:val="single" w:color="auto" w:sz="4" w:space="0"/>
              <w:left w:val="single" w:color="auto" w:sz="4" w:space="0"/>
              <w:bottom w:val="single" w:color="auto" w:sz="4" w:space="0"/>
              <w:right w:val="single" w:color="auto" w:sz="4" w:space="0"/>
            </w:tcBorders>
            <w:tcW w:w="8308" w:type="dxa"/>
            <w:vAlign w:val="center"/>
            <w:textDirection w:val="lrTb"/>
            <w:noWrap w:val="false"/>
          </w:tcPr>
          <w:p>
            <w:pPr>
              <w:pStyle w:val="894"/>
              <w:jc w:val="center"/>
              <w:spacing w:before="0" w:beforeAutospacing="0" w:after="0" w:afterAutospacing="0"/>
              <w:rPr>
                <w:rFonts w:hint="eastAsia"/>
                <w:b/>
                <w:bCs w:val="0"/>
                <w:color w:val="auto"/>
                <w:highlight w:val="none"/>
              </w:rPr>
            </w:pPr>
            <w:r>
              <w:rPr>
                <w:rFonts w:hint="eastAsia"/>
                <w:b/>
                <w:bCs w:val="0"/>
                <w:color w:val="auto"/>
                <w:highlight w:val="none"/>
              </w:rPr>
              <w:t xml:space="preserve">评分标准</w:t>
            </w:r>
            <w:r/>
          </w:p>
        </w:tc>
      </w:tr>
      <w:tr>
        <w:trPr>
          <w:jc w:val="center"/>
          <w:trHeight w:val="1420"/>
        </w:trPr>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价格</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（30分）</w:t>
            </w:r>
            <w:r/>
          </w:p>
        </w:tc>
        <w:tc>
          <w:tcPr>
            <w:tcBorders>
              <w:top w:val="single" w:color="auto" w:sz="4" w:space="0"/>
              <w:left w:val="single" w:color="auto" w:sz="4" w:space="0"/>
              <w:bottom w:val="single" w:color="auto" w:sz="4" w:space="0"/>
              <w:right w:val="single" w:color="auto" w:sz="4" w:space="0"/>
            </w:tcBorders>
            <w:tcW w:w="8308" w:type="dxa"/>
            <w:vAlign w:val="center"/>
            <w:textDirection w:val="lrTb"/>
            <w:noWrap w:val="false"/>
          </w:tcPr>
          <w:p>
            <w:pPr>
              <w:ind w:firstLine="420"/>
              <w:jc w:val="both"/>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满足招标文件要求且投标价格最低的有效投标报价为评标基准价，其价格分为满分。其他投标人的价格分统一按照下列公式计算：</w:t>
            </w:r>
            <w:r/>
          </w:p>
          <w:p>
            <w:pPr>
              <w:jc w:val="left"/>
              <w:spacing w:line="360" w:lineRule="auto"/>
              <w:rPr>
                <w:rFonts w:hint="eastAsia" w:ascii="宋体" w:hAnsi="宋体" w:cs="宋体"/>
                <w:color w:val="auto"/>
                <w:sz w:val="22"/>
                <w:szCs w:val="22"/>
                <w:highlight w:val="none"/>
              </w:rPr>
            </w:pPr>
            <w:r>
              <w:rPr>
                <w:rFonts w:hint="eastAsia" w:ascii="宋体" w:hAnsi="宋体"/>
                <w:color w:val="auto"/>
                <w:sz w:val="21"/>
                <w:szCs w:val="21"/>
                <w:highlight w:val="none"/>
                <w:lang w:val="zh-CN"/>
              </w:rPr>
              <w:t xml:space="preserve">投标报价得分=（评标基准价／投标报价)×</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0。（小数点保留两位）</w:t>
            </w:r>
            <w:r/>
          </w:p>
        </w:tc>
      </w:tr>
      <w:tr>
        <w:trPr>
          <w:jc w:val="center"/>
          <w:trHeight w:val="1289"/>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技术性能</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（31分）</w:t>
            </w:r>
            <w:r/>
          </w:p>
        </w:tc>
        <w:tc>
          <w:tcPr>
            <w:tcBorders>
              <w:left w:val="single" w:color="auto" w:sz="4" w:space="0"/>
              <w:right w:val="single" w:color="auto" w:sz="4" w:space="0"/>
            </w:tcBorders>
            <w:tcW w:w="8308" w:type="dxa"/>
            <w:vAlign w:val="center"/>
            <w:textDirection w:val="lrTb"/>
            <w:noWrap w:val="false"/>
          </w:tcPr>
          <w:p>
            <w:pPr>
              <w:ind w:firstLine="42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根据招标文件详细技术要求，完全响应即满足招标文件各项技术指标、参数要求的得31分。</w:t>
            </w:r>
            <w:r/>
          </w:p>
          <w:p>
            <w:pPr>
              <w:ind w:firstLine="42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主要技术指标（标注“★”的条款）每出现一项偏离扣1分，扣完为止。</w:t>
            </w:r>
            <w:r/>
          </w:p>
          <w:p>
            <w:pPr>
              <w:ind w:firstLine="42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其他指标（未标注“★”的条款）每出现一项偏离扣0.5分，扣完为止。</w:t>
            </w:r>
            <w:r/>
          </w:p>
          <w:p>
            <w:pPr>
              <w:jc w:val="both"/>
              <w:spacing w:line="360" w:lineRule="auto"/>
              <w:rPr>
                <w:rFonts w:hint="eastAsia" w:ascii="宋体" w:hAnsi="宋体" w:cs="宋体"/>
                <w:color w:val="auto"/>
                <w:sz w:val="22"/>
                <w:szCs w:val="22"/>
                <w:highlight w:val="none"/>
              </w:rPr>
            </w:pPr>
            <w:r>
              <w:rPr>
                <w:rFonts w:hint="eastAsia" w:ascii="宋体" w:hAnsi="宋体"/>
                <w:b/>
                <w:bCs/>
                <w:i w:val="0"/>
                <w:iCs w:val="0"/>
                <w:color w:val="auto"/>
                <w:sz w:val="21"/>
                <w:szCs w:val="21"/>
                <w:highlight w:val="none"/>
                <w:u w:val="none"/>
                <w:lang w:val="en-US" w:eastAsia="zh-CN"/>
              </w:rPr>
              <w:t xml:space="preserve">（标注“★”的须提供相关证明材料</w:t>
            </w:r>
            <w:r>
              <w:rPr>
                <w:rFonts w:hint="default" w:ascii="宋体" w:hAnsi="宋体"/>
                <w:b/>
                <w:bCs/>
                <w:i w:val="0"/>
                <w:iCs w:val="0"/>
                <w:color w:val="auto"/>
                <w:sz w:val="21"/>
                <w:szCs w:val="21"/>
                <w:highlight w:val="none"/>
                <w:u w:val="none"/>
                <w:lang w:val="en-US" w:eastAsia="zh-CN"/>
              </w:rPr>
              <w:t xml:space="preserve">的</w:t>
            </w:r>
            <w:r>
              <w:rPr>
                <w:rFonts w:hint="eastAsia" w:ascii="宋体" w:hAnsi="宋体"/>
                <w:b/>
                <w:bCs/>
                <w:i w:val="0"/>
                <w:iCs w:val="0"/>
                <w:color w:val="auto"/>
                <w:sz w:val="21"/>
                <w:szCs w:val="21"/>
                <w:highlight w:val="none"/>
                <w:u w:val="none"/>
                <w:lang w:val="en-US" w:eastAsia="zh-CN"/>
              </w:rPr>
              <w:t xml:space="preserve">原件并扫描上传；未标注“★”的条款提供技术要求响应及偏离表；不提供的不得分）</w:t>
            </w:r>
            <w:r/>
          </w:p>
        </w:tc>
      </w:tr>
      <w:tr>
        <w:trPr>
          <w:jc w:val="center"/>
          <w:trHeight w:val="600"/>
        </w:trPr>
        <w:tc>
          <w:tcPr>
            <w:tcBorders>
              <w:left w:val="single" w:color="auto" w:sz="4" w:space="0"/>
              <w:right w:val="single" w:color="auto" w:sz="4" w:space="0"/>
            </w:tcBorders>
            <w:tcW w:w="1250" w:type="dxa"/>
            <w:vAlign w:val="center"/>
            <w:vMerge w:val="restart"/>
            <w:textDirection w:val="lrTb"/>
            <w:noWrap w:val="false"/>
          </w:tcPr>
          <w:p>
            <w:pPr>
              <w:contextualSpacing/>
              <w:jc w:val="center"/>
              <w:spacing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实施方案</w:t>
            </w:r>
            <w:r/>
          </w:p>
          <w:p>
            <w:pPr>
              <w:jc w:val="center"/>
              <w:spacing w:line="400" w:lineRule="exact"/>
              <w:rPr>
                <w:rFonts w:hint="eastAsia" w:ascii="宋体" w:hAnsi="宋体"/>
                <w:color w:val="auto"/>
                <w:sz w:val="21"/>
                <w:szCs w:val="21"/>
                <w:highlight w:val="yellow"/>
                <w:lang w:val="en-US" w:eastAsia="zh-CN"/>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分）</w:t>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yellow"/>
                <w:lang w:val="en-US" w:eastAsia="zh-CN"/>
              </w:rPr>
            </w:pPr>
            <w:r>
              <w:rPr>
                <w:rFonts w:hint="eastAsia" w:ascii="宋体" w:hAnsi="宋体"/>
                <w:color w:val="000000" w:themeColor="text1"/>
                <w14:textFill>
                  <w14:solidFill>
                    <w14:schemeClr w14:val="tx1"/>
                  </w14:solidFill>
                </w14:textFill>
              </w:rPr>
              <w:t xml:space="preserve">1、</w:t>
            </w:r>
            <w:r>
              <w:rPr>
                <w:rFonts w:hint="eastAsia" w:asciiTheme="minorEastAsia" w:hAnsiTheme="minorEastAsia"/>
                <w:color w:val="000000" w:themeColor="text1"/>
                <w14:textFill>
                  <w14:solidFill>
                    <w14:schemeClr w14:val="tx1"/>
                  </w14:solidFill>
                </w14:textFill>
              </w:rPr>
              <w:t xml:space="preserve">平台系统维护方案：</w:t>
            </w:r>
            <w:r>
              <w:rPr>
                <w:rFonts w:hint="eastAsia" w:ascii="宋体" w:hAnsi="宋体"/>
                <w:color w:val="000000" w:themeColor="text1"/>
                <w14:textFill>
                  <w14:solidFill>
                    <w14:schemeClr w14:val="tx1"/>
                  </w14:solidFill>
                </w14:textFill>
              </w:rPr>
              <w:t xml:space="preserve">优于招标文件要求得3分；符合招标文件要求得1.5分；不符合招标文件要求或未提供的不得分。</w:t>
            </w:r>
            <w:r/>
          </w:p>
        </w:tc>
      </w:tr>
      <w:tr>
        <w:trPr>
          <w:jc w:val="center"/>
          <w:trHeight w:val="55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yellow"/>
                <w:lang w:val="en-US" w:eastAsia="zh-CN"/>
              </w:rPr>
            </w:pPr>
            <w:r>
              <w:rPr>
                <w:rFonts w:hint="eastAsia" w:asciiTheme="minorEastAsia" w:hAnsiTheme="minorEastAsia"/>
                <w:color w:val="000000" w:themeColor="text1"/>
                <w14:textFill>
                  <w14:solidFill>
                    <w14:schemeClr w14:val="tx1"/>
                  </w14:solidFill>
                </w14:textFill>
              </w:rPr>
              <w:t xml:space="preserve">2、总体管理方案：</w:t>
            </w:r>
            <w:r>
              <w:rPr>
                <w:rFonts w:hint="eastAsia" w:ascii="宋体" w:hAnsi="宋体"/>
                <w:color w:val="000000" w:themeColor="text1"/>
                <w14:textFill>
                  <w14:solidFill>
                    <w14:schemeClr w14:val="tx1"/>
                  </w14:solidFill>
                </w14:textFill>
              </w:rPr>
              <w:t xml:space="preserve">优于招标文件要求得3分；符合招标文件要求得1.5分；不符合招标文件要求或未提供的不得分</w:t>
            </w:r>
            <w:r>
              <w:rPr>
                <w:rFonts w:hint="eastAsia" w:asciiTheme="minorEastAsia" w:hAnsiTheme="minorEastAsia"/>
                <w:color w:val="000000" w:themeColor="text1"/>
                <w14:textFill>
                  <w14:solidFill>
                    <w14:schemeClr w14:val="tx1"/>
                  </w14:solidFill>
                </w14:textFill>
              </w:rPr>
              <w:t xml:space="preserve">。</w:t>
            </w:r>
            <w:r/>
          </w:p>
        </w:tc>
      </w:tr>
      <w:tr>
        <w:trPr>
          <w:jc w:val="center"/>
          <w:trHeight w:val="61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yellow"/>
                <w:lang w:val="en-US" w:eastAsia="zh-CN"/>
              </w:rPr>
            </w:pPr>
            <w:r>
              <w:rPr>
                <w:rFonts w:hint="eastAsia" w:asciiTheme="minorEastAsia" w:hAnsiTheme="minorEastAsia"/>
                <w:color w:val="000000" w:themeColor="text1"/>
                <w14:textFill>
                  <w14:solidFill>
                    <w14:schemeClr w14:val="tx1"/>
                  </w14:solidFill>
                </w14:textFill>
              </w:rPr>
              <w:t xml:space="preserve">3、接口对接方案：</w:t>
            </w:r>
            <w:r>
              <w:rPr>
                <w:rFonts w:hint="eastAsia" w:ascii="宋体" w:hAnsi="宋体"/>
                <w:color w:val="000000" w:themeColor="text1"/>
                <w14:textFill>
                  <w14:solidFill>
                    <w14:schemeClr w14:val="tx1"/>
                  </w14:solidFill>
                </w14:textFill>
              </w:rPr>
              <w:t xml:space="preserve">优于招标文件要求得3分；符合招标文件要求得1.5分；不符合招标文件要求或未提供的不得分</w:t>
            </w:r>
            <w:r>
              <w:rPr>
                <w:rFonts w:hint="eastAsia" w:asciiTheme="minorEastAsia" w:hAnsiTheme="minorEastAsia"/>
                <w:color w:val="000000" w:themeColor="text1"/>
                <w14:textFill>
                  <w14:solidFill>
                    <w14:schemeClr w14:val="tx1"/>
                  </w14:solidFill>
                </w14:textFill>
              </w:rPr>
              <w:t xml:space="preserve">。</w:t>
            </w:r>
            <w:r/>
          </w:p>
        </w:tc>
      </w:tr>
      <w:tr>
        <w:trPr>
          <w:jc w:val="center"/>
          <w:trHeight w:val="55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yellow"/>
                <w:lang w:val="en-US" w:eastAsia="zh-CN"/>
              </w:rPr>
            </w:pPr>
            <w:r>
              <w:rPr>
                <w:rFonts w:hint="eastAsia" w:asciiTheme="minorEastAsia" w:hAnsiTheme="minorEastAsia"/>
                <w:color w:val="000000" w:themeColor="text1"/>
                <w14:textFill>
                  <w14:solidFill>
                    <w14:schemeClr w14:val="tx1"/>
                  </w14:solidFill>
                </w14:textFill>
              </w:rPr>
              <w:t xml:space="preserve">4、进度管理方案：</w:t>
            </w:r>
            <w:r>
              <w:rPr>
                <w:rFonts w:hint="eastAsia" w:ascii="宋体" w:hAnsi="宋体"/>
                <w:color w:val="000000" w:themeColor="text1"/>
                <w14:textFill>
                  <w14:solidFill>
                    <w14:schemeClr w14:val="tx1"/>
                  </w14:solidFill>
                </w14:textFill>
              </w:rPr>
              <w:t xml:space="preserve">优于招标文件要求得3分；符合招标文件要求得1.5分；不符合招标文件要求或未提供的不得分</w:t>
            </w:r>
            <w:r>
              <w:rPr>
                <w:rFonts w:hint="eastAsia" w:asciiTheme="minorEastAsia" w:hAnsiTheme="minorEastAsia"/>
                <w:color w:val="000000" w:themeColor="text1"/>
                <w14:textFill>
                  <w14:solidFill>
                    <w14:schemeClr w14:val="tx1"/>
                  </w14:solidFill>
                </w14:textFill>
              </w:rPr>
              <w:t xml:space="preserve">。</w:t>
            </w:r>
            <w:r/>
          </w:p>
        </w:tc>
      </w:tr>
      <w:tr>
        <w:trPr>
          <w:jc w:val="center"/>
          <w:trHeight w:val="822"/>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yellow"/>
                <w:lang w:val="en-US" w:eastAsia="zh-CN"/>
              </w:rPr>
            </w:pPr>
            <w:r>
              <w:rPr>
                <w:rFonts w:hint="eastAsia" w:ascii="宋体" w:hAnsi="宋体"/>
                <w:color w:val="000000" w:themeColor="text1"/>
                <w14:textFill>
                  <w14:solidFill>
                    <w14:schemeClr w14:val="tx1"/>
                  </w14:solidFill>
                </w14:textFill>
              </w:rPr>
              <w:t xml:space="preserve">5、安全保障方案：优于招标文件要求得3分；符合招标文件要求得1.5分；不符合招标文件要求或未提供的不得分。</w:t>
            </w:r>
            <w:r/>
          </w:p>
        </w:tc>
      </w:tr>
      <w:tr>
        <w:trPr>
          <w:jc w:val="center"/>
          <w:trHeight w:val="911"/>
        </w:trPr>
        <w:tc>
          <w:tcPr>
            <w:tcBorders>
              <w:left w:val="single" w:color="auto" w:sz="4" w:space="0"/>
              <w:right w:val="single" w:color="auto" w:sz="4" w:space="0"/>
            </w:tcBorders>
            <w:tcW w:w="1250" w:type="dxa"/>
            <w:vAlign w:val="center"/>
            <w:vMerge w:val="restart"/>
            <w:textDirection w:val="lrTb"/>
            <w:noWrap w:val="false"/>
          </w:tcPr>
          <w:p>
            <w:pPr>
              <w:contextualSpacing/>
              <w:jc w:val="center"/>
              <w:spacing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售后服务</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（6分）</w:t>
            </w:r>
            <w:r/>
          </w:p>
        </w:tc>
        <w:tc>
          <w:tcPr>
            <w:tcBorders>
              <w:left w:val="single" w:color="auto" w:sz="4" w:space="0"/>
              <w:right w:val="single" w:color="auto" w:sz="4" w:space="0"/>
            </w:tcBorders>
            <w:tcW w:w="8308" w:type="dxa"/>
            <w:vAlign w:val="top"/>
            <w:textDirection w:val="lrTb"/>
            <w:noWrap w:val="false"/>
          </w:tcPr>
          <w:p>
            <w:pPr>
              <w:contextualSpacing/>
              <w:ind w:firstLine="420"/>
              <w:jc w:val="left"/>
              <w:spacing w:after="0"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1、投标人承诺处理前端设备故障，到达现场时间在1小时以内得2分、2小时以内得1分。</w:t>
            </w:r>
            <w:r/>
          </w:p>
        </w:tc>
      </w:tr>
      <w:tr>
        <w:trPr>
          <w:jc w:val="center"/>
          <w:trHeight w:val="69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jc w:val="left"/>
              <w:spacing w:after="0"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2、投标人承诺处理线路、软件升级等非前端设备硬件损坏故障，在12小时内恢复运行的得2分。</w:t>
            </w:r>
            <w:r/>
          </w:p>
        </w:tc>
      </w:tr>
      <w:tr>
        <w:trPr>
          <w:jc w:val="center"/>
          <w:trHeight w:val="45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3、投标人承诺在接到采购人通知后，针对前端设备故障需要返厂维修，能在12小时内提供设备备件的得2分。</w:t>
            </w:r>
            <w:r/>
          </w:p>
          <w:p>
            <w:pPr>
              <w:contextualSpacing/>
              <w:jc w:val="left"/>
              <w:spacing w:after="0" w:line="360" w:lineRule="auto"/>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（须提供以上1-3项承诺函，原件扫描上传）</w:t>
            </w:r>
            <w:r/>
          </w:p>
        </w:tc>
      </w:tr>
      <w:tr>
        <w:trPr>
          <w:jc w:val="center"/>
          <w:trHeight w:val="570"/>
        </w:trPr>
        <w:tc>
          <w:tcPr>
            <w:tcBorders>
              <w:left w:val="single" w:color="auto" w:sz="4" w:space="0"/>
              <w:right w:val="single" w:color="auto" w:sz="4" w:space="0"/>
            </w:tcBorders>
            <w:tcW w:w="1250" w:type="dxa"/>
            <w:vAlign w:val="center"/>
            <w:vMerge w:val="restart"/>
            <w:textDirection w:val="lrTb"/>
            <w:noWrap w:val="false"/>
          </w:tcPr>
          <w:p>
            <w:pPr>
              <w:jc w:val="center"/>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综合能力及人员配备</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w:t>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1、投标人具有电子与智能化工程专业承包一级资质证书且在有效期以内的得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分；具有颁发电子与智能化工程专业承包二级资质证书且在有效期以内的得1分。</w:t>
            </w:r>
            <w:r/>
          </w:p>
        </w:tc>
      </w:tr>
      <w:tr>
        <w:trPr>
          <w:jc w:val="center"/>
          <w:trHeight w:val="66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2、投标人具有信息系统服务交付能力（CCID）等级一级证书且在有效期以内的得2分，具有信息系统服务交付能力（CCID）等级二级证书且在有效期以内的得1分。</w:t>
            </w:r>
            <w:r/>
          </w:p>
        </w:tc>
      </w:tr>
      <w:tr>
        <w:trPr>
          <w:jc w:val="center"/>
          <w:trHeight w:val="85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3、投标人具有信息系统建设和服务能力(CS5)证书在有效期以内得2分,具有信息系统建设和服务能力(CS4)证书在有效期以内得1分。</w:t>
            </w:r>
            <w:r/>
          </w:p>
        </w:tc>
      </w:tr>
      <w:tr>
        <w:trPr>
          <w:jc w:val="center"/>
          <w:trHeight w:val="64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4、投标人具有信息安全服务资质认证证书(CCRC)且在有效期以内的，一级得2分，二级得1分。</w:t>
            </w:r>
            <w:r/>
          </w:p>
          <w:p>
            <w:pPr>
              <w:contextualSpacing/>
              <w:spacing w:after="0" w:line="360" w:lineRule="auto"/>
              <w:rPr>
                <w:rFonts w:hint="eastAsia" w:ascii="宋体" w:hAnsi="宋体"/>
                <w:b/>
                <w:bCs/>
                <w:color w:val="000000" w:themeColor="text1"/>
                <w:highlight w:val="none"/>
                <w14:textFill>
                  <w14:solidFill>
                    <w14:schemeClr w14:val="tx1"/>
                  </w14:solidFill>
                </w14:textFill>
              </w:rPr>
            </w:pPr>
            <w:r>
              <w:rPr>
                <w:rFonts w:hint="eastAsia" w:hAnsi="宋体"/>
                <w:b/>
                <w:bCs/>
                <w:color w:val="000000" w:themeColor="text1"/>
                <w:highlight w:val="none"/>
                <w14:textFill>
                  <w14:solidFill>
                    <w14:schemeClr w14:val="tx1"/>
                  </w14:solidFill>
                </w14:textFill>
              </w:rPr>
              <w:t xml:space="preserve">（</w:t>
            </w:r>
            <w:r>
              <w:rPr>
                <w:rFonts w:hint="eastAsia" w:ascii="宋体" w:hAnsi="宋体"/>
                <w:b/>
                <w:bCs/>
                <w:color w:val="000000" w:themeColor="text1"/>
                <w:highlight w:val="none"/>
                <w14:textFill>
                  <w14:solidFill>
                    <w14:schemeClr w14:val="tx1"/>
                  </w14:solidFill>
                </w14:textFill>
              </w:rPr>
              <w:t xml:space="preserve">须提供以上1-4项证书，原件扫描上传）</w:t>
            </w:r>
            <w:r/>
          </w:p>
        </w:tc>
      </w:tr>
      <w:tr>
        <w:trPr>
          <w:jc w:val="center"/>
          <w:trHeight w:val="42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5、投标人提供的项目负责人，具有信息系统项目管理师、网络工程师认证证书且在有效期内，有一个得1分，满分2分。</w:t>
            </w:r>
            <w:r/>
          </w:p>
        </w:tc>
      </w:tr>
      <w:tr>
        <w:trPr>
          <w:jc w:val="center"/>
          <w:trHeight w:val="42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6、项目服务团队（不含项目负责人），具有CISP信息安全专家工程师认证证书、IT服务工程师ITSS证书、IT运维工程师证书、网络通信安全管理员证书，有一个得0.5分，满分2分。</w:t>
            </w:r>
            <w:r/>
          </w:p>
          <w:p>
            <w:pPr>
              <w:contextualSpacing/>
              <w:spacing w:after="0" w:line="360" w:lineRule="auto"/>
              <w:rPr>
                <w:rFonts w:hint="eastAsia"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（须提供以上5-6项证书和</w:t>
            </w:r>
            <w:r>
              <w:rPr>
                <w:rFonts w:hint="eastAsia" w:ascii="宋体" w:hAnsi="宋体" w:cs="宋体"/>
                <w:b/>
                <w:bCs/>
                <w:color w:val="000000" w:themeColor="text1"/>
                <w:szCs w:val="21"/>
                <w:highlight w:val="none"/>
                <w14:textFill>
                  <w14:solidFill>
                    <w14:schemeClr w14:val="tx1"/>
                  </w14:solidFill>
                </w14:textFill>
              </w:rPr>
              <w:t xml:space="preserve">投标人为其缴纳近三个月内任意一个月的社保证明</w:t>
            </w:r>
            <w:r>
              <w:rPr>
                <w:rFonts w:hint="eastAsia" w:ascii="宋体" w:hAnsi="宋体"/>
                <w:b/>
                <w:bCs/>
                <w:color w:val="000000" w:themeColor="text1"/>
                <w:highlight w:val="none"/>
                <w14:textFill>
                  <w14:solidFill>
                    <w14:schemeClr w14:val="tx1"/>
                  </w14:solidFill>
                </w14:textFill>
              </w:rPr>
              <w:t xml:space="preserve">，原件扫描上传，一人多证不重复计分）</w:t>
            </w:r>
            <w:r/>
          </w:p>
        </w:tc>
      </w:tr>
      <w:tr>
        <w:trPr>
          <w:jc w:val="center"/>
          <w:trHeight w:val="415"/>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类似业绩</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（6分）</w:t>
            </w:r>
            <w:r/>
          </w:p>
        </w:tc>
        <w:tc>
          <w:tcPr>
            <w:tcBorders>
              <w:left w:val="single" w:color="auto" w:sz="4" w:space="0"/>
              <w:right w:val="single" w:color="auto" w:sz="4" w:space="0"/>
            </w:tcBorders>
            <w:tcW w:w="8308" w:type="dxa"/>
            <w:vAlign w:val="center"/>
            <w:textDirection w:val="lrTb"/>
            <w:noWrap w:val="false"/>
          </w:tcPr>
          <w:p>
            <w:pPr>
              <w:ind w:firstLine="420"/>
              <w:jc w:val="both"/>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投标人20</w:t>
            </w:r>
            <w:r>
              <w:rPr>
                <w:rFonts w:hint="eastAsia" w:ascii="宋体" w:hAnsi="宋体"/>
                <w:color w:val="auto"/>
                <w:sz w:val="21"/>
                <w:szCs w:val="21"/>
                <w:highlight w:val="none"/>
                <w:lang w:val="en-US" w:eastAsia="zh-CN"/>
              </w:rPr>
              <w:t xml:space="preserve">22</w:t>
            </w:r>
            <w:r>
              <w:rPr>
                <w:rFonts w:hint="eastAsia" w:ascii="宋体" w:hAnsi="宋体"/>
                <w:color w:val="auto"/>
                <w:sz w:val="21"/>
                <w:szCs w:val="21"/>
                <w:highlight w:val="none"/>
                <w:lang w:val="zh-CN"/>
              </w:rPr>
              <w:t xml:space="preserve">年1月1日以来（以合同签订时间为准），具有类似项目业绩，每有</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val="zh-CN"/>
              </w:rPr>
              <w:t xml:space="preserve">个得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val="zh-CN"/>
              </w:rPr>
              <w:t xml:space="preserve">分，满分</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分。</w:t>
            </w:r>
            <w:r/>
          </w:p>
          <w:p>
            <w:pPr>
              <w:ind w:firstLine="221"/>
              <w:jc w:val="left"/>
              <w:spacing w:line="360" w:lineRule="auto"/>
              <w:rPr>
                <w:rFonts w:hint="eastAsia" w:hAnsi="宋体"/>
                <w:b/>
                <w:bCs/>
                <w:color w:val="000000" w:themeColor="text1"/>
                <w:highlight w:val="none"/>
                <w14:textFill>
                  <w14:solidFill>
                    <w14:schemeClr w14:val="tx1"/>
                  </w14:solidFill>
                </w14:textFill>
              </w:rPr>
            </w:pPr>
            <w:r>
              <w:rPr>
                <w:rFonts w:hint="eastAsia" w:ascii="宋体" w:hAnsi="宋体" w:cs="宋体"/>
                <w:b/>
                <w:bCs/>
                <w:color w:val="auto"/>
                <w:sz w:val="22"/>
                <w:szCs w:val="22"/>
                <w:highlight w:val="none"/>
              </w:rPr>
              <w:t xml:space="preserve">（</w:t>
            </w:r>
            <w:r>
              <w:rPr>
                <w:rFonts w:hint="eastAsia" w:ascii="宋体" w:hAnsi="宋体" w:cs="宋体"/>
                <w:b/>
                <w:bCs/>
                <w:color w:val="auto"/>
                <w:szCs w:val="21"/>
                <w:highlight w:val="none"/>
              </w:rPr>
              <w:t xml:space="preserve">以合同签订时间为准，提供合同原件</w:t>
            </w:r>
            <w:r>
              <w:rPr>
                <w:rFonts w:hint="eastAsia" w:ascii="宋体" w:hAnsi="宋体" w:cs="宋体"/>
                <w:b/>
                <w:bCs/>
                <w:color w:val="auto"/>
                <w:szCs w:val="21"/>
                <w:highlight w:val="none"/>
                <w:lang w:val="en-US" w:eastAsia="zh-CN"/>
              </w:rPr>
              <w:t xml:space="preserve">并</w:t>
            </w:r>
            <w:r>
              <w:rPr>
                <w:rFonts w:hint="eastAsia" w:ascii="宋体" w:hAnsi="宋体" w:cs="宋体"/>
                <w:b/>
                <w:bCs/>
                <w:color w:val="auto"/>
                <w:szCs w:val="21"/>
                <w:highlight w:val="none"/>
              </w:rPr>
              <w:t xml:space="preserve">扫描上传</w:t>
            </w:r>
            <w:r>
              <w:rPr>
                <w:rFonts w:hint="eastAsia" w:ascii="宋体" w:hAnsi="宋体" w:cs="宋体"/>
                <w:b/>
                <w:bCs/>
                <w:color w:val="auto"/>
                <w:sz w:val="22"/>
                <w:szCs w:val="22"/>
                <w:highlight w:val="none"/>
              </w:rPr>
              <w:t xml:space="preserve">）</w:t>
            </w:r>
            <w:r/>
          </w:p>
        </w:tc>
      </w:tr>
    </w:tbl>
    <w:p>
      <w:pPr>
        <w:ind w:firstLine="420"/>
        <w:jc w:val="both"/>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pStyle w:val="884"/>
        <w:ind w:left="0" w:firstLine="0"/>
        <w:rPr>
          <w:rFonts w:hint="eastAsia"/>
          <w:color w:val="auto"/>
          <w:highlight w:val="none"/>
        </w:rPr>
      </w:pPr>
      <w:r>
        <w:rPr>
          <w:rFonts w:hint="eastAsia"/>
          <w:color w:val="auto"/>
          <w:highlight w:val="none"/>
        </w:rPr>
      </w:r>
      <w:r/>
    </w:p>
    <w:p>
      <w:pPr>
        <w:pStyle w:val="879"/>
        <w:rPr>
          <w:rFonts w:hint="default" w:eastAsia="宋体"/>
          <w:highlight w:val="none"/>
          <w:lang w:val="en-US" w:eastAsia="zh-CN"/>
        </w:rPr>
      </w:pPr>
      <w:r>
        <w:rPr>
          <w:rFonts w:hint="eastAsia" w:hAnsi="宋体"/>
          <w:b/>
          <w:color w:val="auto"/>
          <w:szCs w:val="21"/>
          <w:highlight w:val="none"/>
          <w:lang w:val="en-US" w:eastAsia="zh-CN"/>
        </w:rPr>
        <w:t xml:space="preserve">分包2</w:t>
      </w:r>
      <w:r/>
    </w:p>
    <w:tbl>
      <w:tblPr>
        <w:tblStyle w:val="878"/>
        <w:tblpPr w:horzAnchor="page" w:tblpXSpec="center" w:vertAnchor="text" w:tblpY="168" w:leftFromText="180" w:topFromText="0" w:rightFromText="180" w:bottomFromText="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250"/>
        <w:gridCol w:w="8308"/>
      </w:tblGrid>
      <w:tr>
        <w:trPr>
          <w:jc w:val="center"/>
          <w:trHeight w:val="354"/>
        </w:trPr>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894"/>
              <w:jc w:val="center"/>
              <w:spacing w:before="0" w:beforeAutospacing="0" w:after="0" w:afterAutospacing="0"/>
              <w:rPr>
                <w:rFonts w:hint="eastAsia" w:eastAsia="宋体"/>
                <w:b/>
                <w:bCs w:val="0"/>
                <w:color w:val="auto"/>
                <w:highlight w:val="none"/>
                <w:lang w:eastAsia="zh-CN"/>
              </w:rPr>
            </w:pPr>
            <w:r>
              <w:rPr>
                <w:rFonts w:hint="eastAsia"/>
                <w:b/>
                <w:bCs w:val="0"/>
                <w:color w:val="auto"/>
                <w:highlight w:val="none"/>
                <w:lang w:val="en-US" w:eastAsia="zh-CN"/>
              </w:rPr>
              <w:t xml:space="preserve">评分因素</w:t>
            </w:r>
            <w:r/>
          </w:p>
        </w:tc>
        <w:tc>
          <w:tcPr>
            <w:tcBorders>
              <w:top w:val="single" w:color="auto" w:sz="4" w:space="0"/>
              <w:left w:val="single" w:color="auto" w:sz="4" w:space="0"/>
              <w:bottom w:val="single" w:color="auto" w:sz="4" w:space="0"/>
              <w:right w:val="single" w:color="auto" w:sz="4" w:space="0"/>
            </w:tcBorders>
            <w:tcW w:w="8308" w:type="dxa"/>
            <w:vAlign w:val="center"/>
            <w:textDirection w:val="lrTb"/>
            <w:noWrap w:val="false"/>
          </w:tcPr>
          <w:p>
            <w:pPr>
              <w:pStyle w:val="894"/>
              <w:jc w:val="center"/>
              <w:spacing w:before="0" w:beforeAutospacing="0" w:after="0" w:afterAutospacing="0"/>
              <w:rPr>
                <w:rFonts w:hint="eastAsia"/>
                <w:b/>
                <w:bCs w:val="0"/>
                <w:color w:val="auto"/>
                <w:highlight w:val="none"/>
              </w:rPr>
            </w:pPr>
            <w:r>
              <w:rPr>
                <w:rFonts w:hint="eastAsia"/>
                <w:b/>
                <w:bCs w:val="0"/>
                <w:color w:val="auto"/>
                <w:highlight w:val="none"/>
              </w:rPr>
              <w:t xml:space="preserve">评分标准</w:t>
            </w:r>
            <w:r/>
          </w:p>
        </w:tc>
      </w:tr>
      <w:tr>
        <w:trPr>
          <w:jc w:val="center"/>
          <w:trHeight w:val="1420"/>
        </w:trPr>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价格</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（30分）</w:t>
            </w:r>
            <w:r/>
          </w:p>
        </w:tc>
        <w:tc>
          <w:tcPr>
            <w:tcBorders>
              <w:top w:val="single" w:color="auto" w:sz="4" w:space="0"/>
              <w:left w:val="single" w:color="auto" w:sz="4" w:space="0"/>
              <w:bottom w:val="single" w:color="auto" w:sz="4" w:space="0"/>
              <w:right w:val="single" w:color="auto" w:sz="4" w:space="0"/>
            </w:tcBorders>
            <w:tcW w:w="8308" w:type="dxa"/>
            <w:vAlign w:val="center"/>
            <w:textDirection w:val="lrTb"/>
            <w:noWrap w:val="false"/>
          </w:tcPr>
          <w:p>
            <w:pPr>
              <w:ind w:firstLine="420"/>
              <w:jc w:val="both"/>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满足招标文件要求且投标价格最低的有效投标报价为评标基准价，其价格分为满分。其他投标人的价格分统一按照下列公式计算：</w:t>
            </w:r>
            <w:r/>
          </w:p>
          <w:p>
            <w:pPr>
              <w:jc w:val="left"/>
              <w:spacing w:line="360" w:lineRule="auto"/>
              <w:rPr>
                <w:rFonts w:hint="eastAsia" w:ascii="宋体" w:hAnsi="宋体" w:cs="宋体"/>
                <w:color w:val="auto"/>
                <w:sz w:val="22"/>
                <w:szCs w:val="22"/>
                <w:highlight w:val="none"/>
              </w:rPr>
            </w:pPr>
            <w:r>
              <w:rPr>
                <w:rFonts w:hint="eastAsia" w:ascii="宋体" w:hAnsi="宋体"/>
                <w:color w:val="auto"/>
                <w:sz w:val="21"/>
                <w:szCs w:val="21"/>
                <w:highlight w:val="none"/>
                <w:lang w:val="zh-CN"/>
              </w:rPr>
              <w:t xml:space="preserve">投标报价得分=（评标基准价／投标报价)×</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0。（小数点保留两位）</w:t>
            </w:r>
            <w:r/>
          </w:p>
        </w:tc>
      </w:tr>
      <w:tr>
        <w:trPr>
          <w:jc w:val="center"/>
          <w:trHeight w:val="1289"/>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技术性能</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（26分）</w:t>
            </w:r>
            <w:r/>
          </w:p>
        </w:tc>
        <w:tc>
          <w:tcPr>
            <w:tcBorders>
              <w:left w:val="single" w:color="auto" w:sz="4" w:space="0"/>
              <w:right w:val="single" w:color="auto" w:sz="4" w:space="0"/>
            </w:tcBorders>
            <w:tcW w:w="8308" w:type="dxa"/>
            <w:vAlign w:val="center"/>
            <w:textDirection w:val="lrTb"/>
            <w:noWrap w:val="false"/>
          </w:tcPr>
          <w:p>
            <w:pPr>
              <w:ind w:firstLine="42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根据招标文件详细技术要求，完全响应即满足招标文件各项技术指标、参数要求的得26分。</w:t>
            </w:r>
            <w:r/>
          </w:p>
          <w:p>
            <w:pPr>
              <w:ind w:firstLine="42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主要技术指标（标注“★”的条款）每出现一项偏离扣1分，扣完为止。</w:t>
            </w:r>
            <w:r/>
          </w:p>
          <w:p>
            <w:pPr>
              <w:ind w:firstLine="42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其他指标（未标注“★”的条款）每出现一项偏离扣0.5分，扣完为止。</w:t>
            </w:r>
            <w:r/>
          </w:p>
          <w:p>
            <w:pPr>
              <w:jc w:val="both"/>
              <w:spacing w:line="360" w:lineRule="auto"/>
              <w:rPr>
                <w:rFonts w:hint="eastAsia" w:ascii="宋体" w:hAnsi="宋体" w:cs="宋体"/>
                <w:color w:val="auto"/>
                <w:sz w:val="22"/>
                <w:szCs w:val="22"/>
                <w:highlight w:val="none"/>
              </w:rPr>
            </w:pPr>
            <w:r>
              <w:rPr>
                <w:rFonts w:hint="eastAsia" w:ascii="宋体" w:hAnsi="宋体"/>
                <w:b/>
                <w:bCs/>
                <w:i w:val="0"/>
                <w:iCs w:val="0"/>
                <w:color w:val="auto"/>
                <w:sz w:val="21"/>
                <w:szCs w:val="21"/>
                <w:highlight w:val="none"/>
                <w:u w:val="none"/>
                <w:lang w:val="en-US" w:eastAsia="zh-CN"/>
              </w:rPr>
              <w:t xml:space="preserve">（标注“★”的须提供相关证明材料</w:t>
            </w:r>
            <w:r>
              <w:rPr>
                <w:rFonts w:hint="default" w:ascii="宋体" w:hAnsi="宋体"/>
                <w:b/>
                <w:bCs/>
                <w:i w:val="0"/>
                <w:iCs w:val="0"/>
                <w:color w:val="auto"/>
                <w:sz w:val="21"/>
                <w:szCs w:val="21"/>
                <w:highlight w:val="none"/>
                <w:u w:val="none"/>
                <w:lang w:val="en-US" w:eastAsia="zh-CN"/>
              </w:rPr>
              <w:t xml:space="preserve">的</w:t>
            </w:r>
            <w:r>
              <w:rPr>
                <w:rFonts w:hint="eastAsia" w:ascii="宋体" w:hAnsi="宋体"/>
                <w:b/>
                <w:bCs/>
                <w:i w:val="0"/>
                <w:iCs w:val="0"/>
                <w:color w:val="auto"/>
                <w:sz w:val="21"/>
                <w:szCs w:val="21"/>
                <w:highlight w:val="none"/>
                <w:u w:val="none"/>
                <w:lang w:val="en-US" w:eastAsia="zh-CN"/>
              </w:rPr>
              <w:t xml:space="preserve">原件并扫描上传；未标注“★”的条款提供技术要求响应及偏离表；不提供的不得分）</w:t>
            </w:r>
            <w:r/>
          </w:p>
        </w:tc>
      </w:tr>
      <w:tr>
        <w:trPr>
          <w:jc w:val="center"/>
          <w:trHeight w:val="600"/>
        </w:trPr>
        <w:tc>
          <w:tcPr>
            <w:tcBorders>
              <w:left w:val="single" w:color="auto" w:sz="4" w:space="0"/>
              <w:right w:val="single" w:color="auto" w:sz="4" w:space="0"/>
            </w:tcBorders>
            <w:tcW w:w="1250" w:type="dxa"/>
            <w:vAlign w:val="center"/>
            <w:vMerge w:val="restart"/>
            <w:textDirection w:val="lrTb"/>
            <w:noWrap w:val="false"/>
          </w:tcPr>
          <w:p>
            <w:pPr>
              <w:contextualSpacing/>
              <w:jc w:val="center"/>
              <w:spacing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实施方案</w:t>
            </w:r>
            <w:r/>
          </w:p>
          <w:p>
            <w:pPr>
              <w:jc w:val="center"/>
              <w:spacing w:line="400" w:lineRule="exact"/>
              <w:rPr>
                <w:rFonts w:hint="eastAsia" w:ascii="宋体" w:hAnsi="宋体"/>
                <w:color w:val="auto"/>
                <w:sz w:val="21"/>
                <w:szCs w:val="21"/>
                <w:highlight w:val="yellow"/>
                <w:lang w:val="en-US" w:eastAsia="zh-CN"/>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lang w:val="en-US" w:eastAsia="zh-CN"/>
                <w14:textFill>
                  <w14:solidFill>
                    <w14:schemeClr w14:val="tx1"/>
                  </w14:solidFill>
                </w14:textFill>
              </w:rPr>
              <w:t xml:space="preserve">8</w:t>
            </w:r>
            <w:r>
              <w:rPr>
                <w:rFonts w:hint="eastAsia" w:ascii="宋体" w:hAnsi="宋体"/>
                <w:color w:val="000000" w:themeColor="text1"/>
                <w:highlight w:val="none"/>
                <w14:textFill>
                  <w14:solidFill>
                    <w14:schemeClr w14:val="tx1"/>
                  </w14:solidFill>
                </w14:textFill>
              </w:rPr>
              <w:t xml:space="preserve">分）</w:t>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yellow"/>
                <w:lang w:val="en-US" w:eastAsia="zh-CN"/>
              </w:rPr>
            </w:pPr>
            <w:r>
              <w:rPr>
                <w:rFonts w:hint="eastAsia" w:ascii="宋体" w:hAnsi="宋体"/>
                <w:color w:val="000000" w:themeColor="text1"/>
                <w14:textFill>
                  <w14:solidFill>
                    <w14:schemeClr w14:val="tx1"/>
                  </w14:solidFill>
                </w14:textFill>
              </w:rPr>
              <w:t xml:space="preserve">1、</w:t>
            </w:r>
            <w:r>
              <w:rPr>
                <w:rFonts w:hint="eastAsia" w:asciiTheme="minorEastAsia" w:hAnsiTheme="minorEastAsia"/>
                <w:color w:val="000000" w:themeColor="text1"/>
                <w14:textFill>
                  <w14:solidFill>
                    <w14:schemeClr w14:val="tx1"/>
                  </w14:solidFill>
                </w14:textFill>
              </w:rPr>
              <w:t xml:space="preserve">平台系统维护方案：</w:t>
            </w:r>
            <w:r>
              <w:rPr>
                <w:rFonts w:hint="eastAsia" w:ascii="宋体" w:hAnsi="宋体"/>
                <w:color w:val="000000" w:themeColor="text1"/>
                <w14:textFill>
                  <w14:solidFill>
                    <w14:schemeClr w14:val="tx1"/>
                  </w14:solidFill>
                </w14:textFill>
              </w:rPr>
              <w:t xml:space="preserve">优于招标文件要求得3分；符合招标文件要求得1.5分；不符合招标文件要求或未提供的不得分。</w:t>
            </w:r>
            <w:r/>
          </w:p>
        </w:tc>
      </w:tr>
      <w:tr>
        <w:trPr>
          <w:jc w:val="center"/>
          <w:trHeight w:val="55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yellow"/>
                <w:lang w:val="en-US" w:eastAsia="zh-CN"/>
              </w:rPr>
            </w:pPr>
            <w:r>
              <w:rPr>
                <w:rFonts w:hint="eastAsia" w:ascii="宋体" w:hAnsi="宋体"/>
                <w:color w:val="000000" w:themeColor="text1"/>
                <w14:textFill>
                  <w14:solidFill>
                    <w14:schemeClr w14:val="tx1"/>
                  </w14:solidFill>
                </w14:textFill>
              </w:rPr>
              <w:t xml:space="preserve">2、总体管理方案：优于招标文件要求得3分；符合招标文件要求得1.5分；不符合招标文件要求或未提供的不得分。</w:t>
            </w:r>
            <w:r/>
          </w:p>
        </w:tc>
      </w:tr>
      <w:tr>
        <w:trPr>
          <w:jc w:val="center"/>
          <w:trHeight w:val="61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yellow"/>
                <w:lang w:val="en-US" w:eastAsia="zh-CN"/>
              </w:rPr>
            </w:pPr>
            <w:r>
              <w:rPr>
                <w:rFonts w:hint="eastAsia" w:ascii="宋体" w:hAnsi="宋体"/>
                <w:color w:val="000000" w:themeColor="text1"/>
                <w14:textFill>
                  <w14:solidFill>
                    <w14:schemeClr w14:val="tx1"/>
                  </w14:solidFill>
                </w14:textFill>
              </w:rPr>
              <w:t xml:space="preserve">3、接口对接方案：优于招标文件要求得3分；符合招标文件要求得1.5分；不符合招标文件要求或未提供的不得分。</w:t>
            </w:r>
            <w:r/>
          </w:p>
        </w:tc>
      </w:tr>
      <w:tr>
        <w:trPr>
          <w:jc w:val="center"/>
          <w:trHeight w:val="55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yellow"/>
                <w:lang w:val="en-US" w:eastAsia="zh-CN"/>
              </w:rPr>
            </w:pPr>
            <w:r>
              <w:rPr>
                <w:rFonts w:hint="eastAsia" w:ascii="宋体" w:hAnsi="宋体"/>
                <w:color w:val="000000" w:themeColor="text1"/>
                <w14:textFill>
                  <w14:solidFill>
                    <w14:schemeClr w14:val="tx1"/>
                  </w14:solidFill>
                </w14:textFill>
              </w:rPr>
              <w:t xml:space="preserve">4、网络方案：优于招标文件要求得3分；符合招标文件要求得1.5分；不符合招标文件要求或未提供的不得分。</w:t>
            </w:r>
            <w:r/>
          </w:p>
        </w:tc>
      </w:tr>
      <w:tr>
        <w:trPr>
          <w:jc w:val="center"/>
          <w:trHeight w:val="882"/>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yellow"/>
                <w:lang w:val="en-US" w:eastAsia="zh-CN"/>
              </w:rPr>
            </w:pPr>
            <w:r>
              <w:rPr>
                <w:rFonts w:hint="eastAsia" w:ascii="宋体" w:hAnsi="宋体"/>
                <w:color w:val="000000" w:themeColor="text1"/>
                <w14:textFill>
                  <w14:solidFill>
                    <w14:schemeClr w14:val="tx1"/>
                  </w14:solidFill>
                </w14:textFill>
              </w:rPr>
              <w:t xml:space="preserve">5、进度管理方案：优于招标文件要求得3分；符合招标文件要求得1.5分；不符合招标文件要求或未提供的不得分。</w:t>
            </w:r>
            <w:r/>
          </w:p>
        </w:tc>
      </w:tr>
      <w:tr>
        <w:trPr>
          <w:jc w:val="center"/>
          <w:trHeight w:val="882"/>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6、安全保障方案：优于招标文件要求得3分；符合招标文件要求得1.5分；不符合招标文件要求或未提供的不得分。</w:t>
            </w:r>
            <w:r/>
          </w:p>
        </w:tc>
      </w:tr>
      <w:tr>
        <w:trPr>
          <w:jc w:val="center"/>
          <w:trHeight w:val="660"/>
        </w:trPr>
        <w:tc>
          <w:tcPr>
            <w:tcBorders>
              <w:left w:val="single" w:color="auto" w:sz="4" w:space="0"/>
              <w:right w:val="single" w:color="auto" w:sz="4" w:space="0"/>
            </w:tcBorders>
            <w:tcW w:w="1250" w:type="dxa"/>
            <w:vAlign w:val="center"/>
            <w:vMerge w:val="restart"/>
            <w:textDirection w:val="lrTb"/>
            <w:noWrap w:val="false"/>
          </w:tcPr>
          <w:p>
            <w:pPr>
              <w:contextualSpacing/>
              <w:jc w:val="center"/>
              <w:spacing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售后服务</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（6分）</w:t>
            </w:r>
            <w:r/>
          </w:p>
        </w:tc>
        <w:tc>
          <w:tcPr>
            <w:tcBorders>
              <w:left w:val="single" w:color="auto" w:sz="4" w:space="0"/>
              <w:right w:val="single" w:color="auto" w:sz="4" w:space="0"/>
            </w:tcBorders>
            <w:tcW w:w="8308" w:type="dxa"/>
            <w:vAlign w:val="top"/>
            <w:textDirection w:val="lrTb"/>
            <w:noWrap w:val="false"/>
          </w:tcPr>
          <w:p>
            <w:pPr>
              <w:contextualSpacing/>
              <w:ind w:firstLine="420"/>
              <w:jc w:val="left"/>
              <w:spacing w:after="0"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14:textFill>
                  <w14:solidFill>
                    <w14:schemeClr w14:val="tx1"/>
                  </w14:solidFill>
                </w14:textFill>
              </w:rPr>
              <w:t xml:space="preserve">1、投标人承诺处理前端设备故障，到达现场时间在1小时以内得2分、2小时以内得1分。</w:t>
            </w:r>
            <w:r/>
          </w:p>
        </w:tc>
      </w:tr>
      <w:tr>
        <w:trPr>
          <w:jc w:val="center"/>
          <w:trHeight w:val="69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jc w:val="left"/>
              <w:spacing w:after="0"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14:textFill>
                  <w14:solidFill>
                    <w14:schemeClr w14:val="tx1"/>
                  </w14:solidFill>
                </w14:textFill>
              </w:rPr>
              <w:t xml:space="preserve">2、投标人承诺处理线路、软件升级等非前端设备硬件损坏故障，在12小时内恢复运行的得2分。</w:t>
            </w:r>
            <w:r/>
          </w:p>
        </w:tc>
      </w:tr>
      <w:tr>
        <w:trPr>
          <w:jc w:val="center"/>
          <w:trHeight w:val="42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3、投标人承诺在接到采购人通知后，针对前端设备故障需要返厂维修，能在12小时内提供设备备件的得2分。</w:t>
            </w:r>
            <w:r/>
          </w:p>
          <w:p>
            <w:pPr>
              <w:contextualSpacing/>
              <w:jc w:val="left"/>
              <w:spacing w:after="0" w:line="360" w:lineRule="auto"/>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（须提供以上1-3项承诺函，原件扫描上传）</w:t>
            </w:r>
            <w:r/>
          </w:p>
        </w:tc>
      </w:tr>
      <w:tr>
        <w:trPr>
          <w:jc w:val="center"/>
          <w:trHeight w:val="570"/>
        </w:trPr>
        <w:tc>
          <w:tcPr>
            <w:tcBorders>
              <w:left w:val="single" w:color="auto" w:sz="4" w:space="0"/>
              <w:right w:val="single" w:color="auto" w:sz="4" w:space="0"/>
            </w:tcBorders>
            <w:tcW w:w="1250" w:type="dxa"/>
            <w:vAlign w:val="center"/>
            <w:vMerge w:val="restart"/>
            <w:textDirection w:val="lrTb"/>
            <w:noWrap w:val="false"/>
          </w:tcPr>
          <w:p>
            <w:pPr>
              <w:jc w:val="center"/>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综合能力及人员配备</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分）</w:t>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14:textFill>
                  <w14:solidFill>
                    <w14:schemeClr w14:val="tx1"/>
                  </w14:solidFill>
                </w14:textFill>
              </w:rPr>
              <w:t xml:space="preserve">1、投标人具有CCIA信息系统业务安全服务资质一级证书且在有效期以内的得</w:t>
            </w:r>
            <w:r>
              <w:rPr>
                <w:rFonts w:hint="eastAsia" w:ascii="宋体" w:hAnsi="宋体"/>
                <w:color w:val="000000" w:themeColor="text1"/>
                <w:lang w:val="en-US" w:eastAsia="zh-CN"/>
                <w14:textFill>
                  <w14:solidFill>
                    <w14:schemeClr w14:val="tx1"/>
                  </w14:solidFill>
                </w14:textFill>
              </w:rPr>
              <w:t xml:space="preserve">3</w:t>
            </w:r>
            <w:r>
              <w:rPr>
                <w:rFonts w:hint="eastAsia" w:ascii="宋体" w:hAnsi="宋体"/>
                <w:color w:val="000000" w:themeColor="text1"/>
                <w14:textFill>
                  <w14:solidFill>
                    <w14:schemeClr w14:val="tx1"/>
                  </w14:solidFill>
                </w14:textFill>
              </w:rPr>
              <w:t xml:space="preserve">分，具有二级证书且在有效期以内的得1分，没有不得分。</w:t>
            </w:r>
            <w:r/>
          </w:p>
        </w:tc>
      </w:tr>
      <w:tr>
        <w:trPr>
          <w:jc w:val="center"/>
          <w:trHeight w:val="66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2、投标人具有信息系统服务交付能力（CCID）等级一级证书且在有效期以内的得</w:t>
            </w:r>
            <w:r>
              <w:rPr>
                <w:rFonts w:hint="eastAsia" w:ascii="宋体" w:hAnsi="宋体"/>
                <w:color w:val="000000" w:themeColor="text1"/>
                <w:lang w:val="en-US" w:eastAsia="zh-CN"/>
                <w14:textFill>
                  <w14:solidFill>
                    <w14:schemeClr w14:val="tx1"/>
                  </w14:solidFill>
                </w14:textFill>
              </w:rPr>
              <w:t xml:space="preserve">3</w:t>
            </w:r>
            <w:r>
              <w:rPr>
                <w:rFonts w:hint="eastAsia" w:ascii="宋体" w:hAnsi="宋体"/>
                <w:color w:val="000000" w:themeColor="text1"/>
                <w14:textFill>
                  <w14:solidFill>
                    <w14:schemeClr w14:val="tx1"/>
                  </w14:solidFill>
                </w14:textFill>
              </w:rPr>
              <w:t xml:space="preserve">分，具有信息系统服务交付能力（CCID）等级二级证书且在有效期以内的</w:t>
            </w:r>
            <w:r>
              <w:rPr>
                <w:rFonts w:hint="eastAsia" w:ascii="宋体" w:hAnsi="宋体"/>
                <w:color w:val="000000" w:themeColor="text1"/>
                <w14:textFill>
                  <w14:solidFill>
                    <w14:schemeClr w14:val="tx1"/>
                  </w14:solidFill>
                </w14:textFill>
              </w:rPr>
              <w:t xml:space="preserve">得1分。</w:t>
            </w:r>
            <w:r>
              <w:rPr>
                <w:rFonts w:hint="eastAsia" w:ascii="宋体" w:hAnsi="宋体"/>
                <w:color w:val="000000" w:themeColor="text1"/>
                <w14:textFill>
                  <w14:solidFill>
                    <w14:schemeClr w14:val="tx1"/>
                  </w14:solidFill>
                </w14:textFill>
              </w:rPr>
            </w:r>
            <w:r/>
          </w:p>
        </w:tc>
      </w:tr>
      <w:tr>
        <w:trPr>
          <w:jc w:val="center"/>
          <w:trHeight w:val="85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3、投标人具有电子与智能化工程专业承包一级资质证书且在有效期以内的得3分；具有电子与智能化工程专业承包二级资质证书且在有效期以内的得1分。</w:t>
            </w:r>
            <w:r/>
          </w:p>
          <w:p>
            <w:pPr>
              <w:contextualSpacing/>
              <w:jc w:val="left"/>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（须提供以上1-3项证书，原件扫描上传）</w:t>
            </w:r>
            <w:r/>
          </w:p>
        </w:tc>
      </w:tr>
      <w:tr>
        <w:trPr>
          <w:jc w:val="center"/>
          <w:trHeight w:val="64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jc w:val="left"/>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14:textFill>
                  <w14:solidFill>
                    <w14:schemeClr w14:val="tx1"/>
                  </w14:solidFill>
                </w14:textFill>
              </w:rPr>
              <w:t xml:space="preserve">4、投标人配备的项目负责人，具有信息系统集成高级项目经理证书，得2分；具有信息系统集成中级项目经理证书，得1分。</w:t>
            </w:r>
            <w:r/>
          </w:p>
        </w:tc>
      </w:tr>
      <w:tr>
        <w:trPr>
          <w:jc w:val="center"/>
          <w:trHeight w:val="175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jc w:val="left"/>
              <w:spacing w:after="0"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5、项目服务团队（不含项目负责人），具有CISP信息安全专家工程师认证证书、IT服务工程师ITSS证书、IT运维工程师证书，有一个得1分，满分3分。</w:t>
            </w:r>
            <w:r/>
          </w:p>
          <w:p>
            <w:pPr>
              <w:contextualSpacing/>
              <w:ind w:firstLine="422"/>
              <w:spacing w:after="0" w:line="360" w:lineRule="auto"/>
              <w:rPr>
                <w:rFonts w:hint="eastAsia" w:ascii="宋体" w:hAnsi="宋体"/>
                <w:b/>
                <w:bCs/>
                <w:color w:val="000000" w:themeColor="text1"/>
                <w:highlight w:val="none"/>
                <w14:textFill>
                  <w14:solidFill>
                    <w14:schemeClr w14:val="tx1"/>
                  </w14:solidFill>
                </w14:textFill>
              </w:rPr>
            </w:pPr>
            <w:r>
              <w:rPr>
                <w:rFonts w:hint="eastAsia" w:hAnsi="宋体"/>
                <w:b/>
                <w:bCs/>
                <w:color w:val="000000" w:themeColor="text1"/>
                <w14:textFill>
                  <w14:solidFill>
                    <w14:schemeClr w14:val="tx1"/>
                  </w14:solidFill>
                </w14:textFill>
              </w:rPr>
              <w:t xml:space="preserve">（</w:t>
            </w:r>
            <w:r>
              <w:rPr>
                <w:rFonts w:hint="eastAsia" w:ascii="宋体" w:hAnsi="宋体"/>
                <w:b/>
                <w:bCs/>
                <w:color w:val="000000" w:themeColor="text1"/>
                <w14:textFill>
                  <w14:solidFill>
                    <w14:schemeClr w14:val="tx1"/>
                  </w14:solidFill>
                </w14:textFill>
              </w:rPr>
              <w:t xml:space="preserve">须提供以上4-5项证书和</w:t>
            </w:r>
            <w:r>
              <w:rPr>
                <w:rFonts w:hint="eastAsia" w:ascii="宋体" w:hAnsi="宋体" w:cs="宋体"/>
                <w:b/>
                <w:bCs/>
                <w:color w:val="000000" w:themeColor="text1"/>
                <w:szCs w:val="21"/>
                <w14:textFill>
                  <w14:solidFill>
                    <w14:schemeClr w14:val="tx1"/>
                  </w14:solidFill>
                </w14:textFill>
              </w:rPr>
              <w:t xml:space="preserve">投标人为其缴纳近三个月内任意一个月的社保证明</w:t>
            </w:r>
            <w:r>
              <w:rPr>
                <w:rFonts w:hint="eastAsia" w:ascii="宋体" w:hAnsi="宋体"/>
                <w:b/>
                <w:bCs/>
                <w:color w:val="000000" w:themeColor="text1"/>
                <w14:textFill>
                  <w14:solidFill>
                    <w14:schemeClr w14:val="tx1"/>
                  </w14:solidFill>
                </w14:textFill>
              </w:rPr>
              <w:t xml:space="preserve">，原件扫描上传，一人多证不重复计分）</w:t>
            </w:r>
            <w:r/>
          </w:p>
        </w:tc>
      </w:tr>
      <w:tr>
        <w:trPr>
          <w:jc w:val="center"/>
          <w:trHeight w:val="1449"/>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类似业绩</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（6分）</w:t>
            </w:r>
            <w:r/>
          </w:p>
        </w:tc>
        <w:tc>
          <w:tcPr>
            <w:tcBorders>
              <w:left w:val="single" w:color="auto" w:sz="4" w:space="0"/>
              <w:right w:val="single" w:color="auto" w:sz="4" w:space="0"/>
            </w:tcBorders>
            <w:tcW w:w="8308" w:type="dxa"/>
            <w:vAlign w:val="center"/>
            <w:textDirection w:val="lrTb"/>
            <w:noWrap w:val="false"/>
          </w:tcPr>
          <w:p>
            <w:pPr>
              <w:ind w:firstLine="420"/>
              <w:jc w:val="both"/>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投标人20</w:t>
            </w:r>
            <w:r>
              <w:rPr>
                <w:rFonts w:hint="eastAsia" w:ascii="宋体" w:hAnsi="宋体"/>
                <w:color w:val="auto"/>
                <w:sz w:val="21"/>
                <w:szCs w:val="21"/>
                <w:highlight w:val="none"/>
                <w:lang w:val="en-US" w:eastAsia="zh-CN"/>
              </w:rPr>
              <w:t xml:space="preserve">22</w:t>
            </w:r>
            <w:r>
              <w:rPr>
                <w:rFonts w:hint="eastAsia" w:ascii="宋体" w:hAnsi="宋体"/>
                <w:color w:val="auto"/>
                <w:sz w:val="21"/>
                <w:szCs w:val="21"/>
                <w:highlight w:val="none"/>
                <w:lang w:val="zh-CN"/>
              </w:rPr>
              <w:t xml:space="preserve">年1月1日以来（以合同签订时间为准），具有类似项目业绩，每有</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val="zh-CN"/>
              </w:rPr>
              <w:t xml:space="preserve">个得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val="zh-CN"/>
              </w:rPr>
              <w:t xml:space="preserve">分，满分</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分。</w:t>
            </w:r>
            <w:r/>
          </w:p>
          <w:p>
            <w:pPr>
              <w:ind w:firstLine="221"/>
              <w:jc w:val="left"/>
              <w:spacing w:line="360" w:lineRule="auto"/>
              <w:rPr>
                <w:rFonts w:hint="eastAsia" w:hAnsi="宋体"/>
                <w:b/>
                <w:bCs/>
                <w:color w:val="000000" w:themeColor="text1"/>
                <w:highlight w:val="none"/>
                <w14:textFill>
                  <w14:solidFill>
                    <w14:schemeClr w14:val="tx1"/>
                  </w14:solidFill>
                </w14:textFill>
              </w:rPr>
            </w:pPr>
            <w:r>
              <w:rPr>
                <w:rFonts w:hint="eastAsia" w:ascii="宋体" w:hAnsi="宋体" w:cs="宋体"/>
                <w:b/>
                <w:bCs/>
                <w:color w:val="auto"/>
                <w:sz w:val="22"/>
                <w:szCs w:val="22"/>
                <w:highlight w:val="none"/>
              </w:rPr>
              <w:t xml:space="preserve">（</w:t>
            </w:r>
            <w:r>
              <w:rPr>
                <w:rFonts w:hint="eastAsia" w:ascii="宋体" w:hAnsi="宋体" w:cs="宋体"/>
                <w:b/>
                <w:bCs/>
                <w:color w:val="auto"/>
                <w:szCs w:val="21"/>
                <w:highlight w:val="none"/>
              </w:rPr>
              <w:t xml:space="preserve">以合同签订时间为准，提供合同原件</w:t>
            </w:r>
            <w:r>
              <w:rPr>
                <w:rFonts w:hint="eastAsia" w:ascii="宋体" w:hAnsi="宋体" w:cs="宋体"/>
                <w:b/>
                <w:bCs/>
                <w:color w:val="auto"/>
                <w:szCs w:val="21"/>
                <w:highlight w:val="none"/>
                <w:lang w:val="en-US" w:eastAsia="zh-CN"/>
              </w:rPr>
              <w:t xml:space="preserve">并</w:t>
            </w:r>
            <w:r>
              <w:rPr>
                <w:rFonts w:hint="eastAsia" w:ascii="宋体" w:hAnsi="宋体" w:cs="宋体"/>
                <w:b/>
                <w:bCs/>
                <w:color w:val="auto"/>
                <w:szCs w:val="21"/>
                <w:highlight w:val="none"/>
              </w:rPr>
              <w:t xml:space="preserve">扫描上传</w:t>
            </w:r>
            <w:r>
              <w:rPr>
                <w:rFonts w:hint="eastAsia" w:ascii="宋体" w:hAnsi="宋体" w:cs="宋体"/>
                <w:b/>
                <w:bCs/>
                <w:color w:val="auto"/>
                <w:sz w:val="22"/>
                <w:szCs w:val="22"/>
                <w:highlight w:val="none"/>
              </w:rPr>
              <w:t xml:space="preserve">）</w:t>
            </w:r>
            <w:r/>
          </w:p>
        </w:tc>
      </w:tr>
    </w:tbl>
    <w:p>
      <w:pPr>
        <w:pStyle w:val="884"/>
        <w:ind w:left="0"/>
        <w:rPr>
          <w:rFonts w:hint="eastAsia"/>
          <w:color w:val="auto"/>
          <w:highlight w:val="none"/>
        </w:rPr>
      </w:pPr>
      <w:r>
        <w:rPr>
          <w:rFonts w:hint="eastAsia"/>
          <w:color w:val="auto"/>
          <w:highlight w:val="none"/>
        </w:rPr>
      </w:r>
      <w:r/>
    </w:p>
    <w:p>
      <w:pPr>
        <w:pStyle w:val="884"/>
        <w:ind w:left="0"/>
        <w:rPr>
          <w:rFonts w:hint="eastAsia"/>
          <w:color w:val="auto"/>
          <w:highlight w:val="none"/>
        </w:rPr>
      </w:pPr>
      <w:r>
        <w:rPr>
          <w:rFonts w:hint="eastAsia"/>
          <w:color w:val="auto"/>
          <w:highlight w:val="none"/>
        </w:rPr>
      </w:r>
      <w:r/>
    </w:p>
    <w:p>
      <w:pPr>
        <w:pStyle w:val="879"/>
        <w:rPr>
          <w:rFonts w:hint="eastAsia"/>
        </w:rPr>
      </w:pPr>
      <w:r>
        <w:rPr>
          <w:rFonts w:hint="eastAsia"/>
        </w:rPr>
      </w:r>
      <w:r/>
    </w:p>
    <w:p>
      <w:pPr>
        <w:rPr>
          <w:rFonts w:hint="eastAsia"/>
        </w:rPr>
      </w:pPr>
      <w:r>
        <w:rPr>
          <w:rFonts w:hint="eastAsia"/>
        </w:rPr>
      </w:r>
      <w:r/>
    </w:p>
    <w:p>
      <w:pPr>
        <w:pStyle w:val="879"/>
        <w:rPr>
          <w:rFonts w:hint="eastAsia"/>
        </w:rPr>
      </w:pPr>
      <w:r>
        <w:rPr>
          <w:rFonts w:hint="eastAsia"/>
        </w:rPr>
      </w:r>
      <w:r/>
    </w:p>
    <w:p>
      <w:pPr>
        <w:rPr>
          <w:rFonts w:hint="eastAsia"/>
        </w:rPr>
      </w:pPr>
      <w:r>
        <w:rPr>
          <w:rFonts w:hint="eastAsia"/>
        </w:rPr>
      </w:r>
      <w:r/>
    </w:p>
    <w:p>
      <w:pPr>
        <w:pStyle w:val="879"/>
        <w:rPr>
          <w:rFonts w:hint="eastAsia"/>
        </w:rPr>
      </w:pPr>
      <w:r>
        <w:rPr>
          <w:rFonts w:hint="eastAsia"/>
        </w:rPr>
      </w:r>
      <w:r/>
    </w:p>
    <w:p>
      <w:pPr>
        <w:rPr>
          <w:rFonts w:hint="eastAsia"/>
        </w:rPr>
      </w:pPr>
      <w:r>
        <w:rPr>
          <w:rFonts w:hint="eastAsia"/>
        </w:rPr>
      </w:r>
      <w:r/>
    </w:p>
    <w:p>
      <w:pPr>
        <w:pStyle w:val="879"/>
        <w:rPr>
          <w:rFonts w:hint="eastAsia"/>
        </w:rPr>
      </w:pPr>
      <w:r>
        <w:rPr>
          <w:rFonts w:hint="eastAsia"/>
        </w:rPr>
      </w:r>
      <w:r/>
    </w:p>
    <w:p>
      <w:pPr>
        <w:rPr>
          <w:rFonts w:hint="eastAsia"/>
        </w:rPr>
      </w:pPr>
      <w:r>
        <w:rPr>
          <w:rFonts w:hint="eastAsia"/>
        </w:rPr>
      </w:r>
      <w:r/>
    </w:p>
    <w:p>
      <w:pPr>
        <w:pStyle w:val="87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bookmarkEnd w:id="2"/>
      <w:r/>
      <w:bookmarkEnd w:id="3"/>
      <w:r/>
      <w:bookmarkEnd w:id="66"/>
      <w:r/>
      <w:r/>
    </w:p>
    <w:p>
      <w:pPr>
        <w:pStyle w:val="873"/>
        <w:jc w:val="center"/>
        <w:rPr>
          <w:rFonts w:ascii="宋体" w:hAnsi="宋体"/>
          <w:color w:val="auto"/>
          <w:highlight w:val="none"/>
        </w:rPr>
      </w:pPr>
      <w:r>
        <w:rPr>
          <w:rStyle w:val="900"/>
          <w:rFonts w:hint="eastAsia" w:ascii="Times New Roman" w:hAnsi="Times New Roman" w:eastAsia="宋体" w:cs="Times New Roman"/>
          <w:b/>
          <w:bCs/>
          <w:color w:val="auto"/>
          <w:sz w:val="36"/>
          <w:szCs w:val="36"/>
          <w:highlight w:val="none"/>
          <w:lang w:val="en-US" w:eastAsia="zh-CN" w:bidi="ar-SA"/>
        </w:rPr>
        <w:t xml:space="preserve">第六章 投标文件格式</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（加盖CA电子公章）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一、</w:t>
      </w:r>
      <w:r>
        <w:rPr>
          <w:rFonts w:hint="eastAsia" w:ascii="宋体" w:hAnsi="宋体" w:cs="宋体"/>
          <w:i/>
          <w:iCs/>
          <w:color w:val="auto"/>
          <w:sz w:val="24"/>
          <w:szCs w:val="24"/>
          <w:highlight w:val="none"/>
          <w:u w:val="single"/>
        </w:rPr>
        <w:t xml:space="preserve">法人或者其他组织的营业执照等证明文件，自然人的身份证明</w:t>
      </w:r>
      <w:r/>
    </w:p>
    <w:p>
      <w:pPr>
        <w:ind w:firstLine="480"/>
        <w:spacing w:line="360" w:lineRule="auto"/>
        <w:rPr>
          <w:rFonts w:hint="eastAsia" w:ascii="宋体" w:hAnsi="宋体" w:cs="宋体"/>
          <w:b/>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二、</w:t>
      </w:r>
      <w:r>
        <w:rPr>
          <w:rFonts w:hint="eastAsia" w:ascii="宋体" w:hAnsi="宋体" w:cs="宋体"/>
          <w:i/>
          <w:iCs/>
          <w:color w:val="auto"/>
          <w:sz w:val="24"/>
          <w:szCs w:val="24"/>
          <w:highlight w:val="none"/>
          <w:u w:val="single"/>
        </w:rPr>
        <w:t xml:space="preserve"> 依法缴纳税收和社会保障资金的相关材料</w:t>
      </w:r>
      <w:r>
        <w:rPr>
          <w:rFonts w:hint="eastAsia" w:ascii="宋体" w:hAnsi="宋体" w:cs="宋体"/>
          <w:b/>
          <w:bCs/>
          <w:i/>
          <w:iCs/>
          <w:color w:val="auto"/>
          <w:sz w:val="24"/>
          <w:szCs w:val="24"/>
          <w:highlight w:val="none"/>
          <w:u w:val="single"/>
        </w:rPr>
        <w:t xml:space="preserve">（提供提交投标文件截止时间前</w:t>
      </w:r>
      <w:r>
        <w:rPr>
          <w:rFonts w:hint="eastAsia" w:ascii="宋体" w:hAnsi="宋体" w:cs="宋体"/>
          <w:b/>
          <w:bCs/>
          <w:i/>
          <w:iCs/>
          <w:color w:val="auto"/>
          <w:sz w:val="24"/>
          <w:szCs w:val="24"/>
          <w:highlight w:val="none"/>
          <w:u w:val="single"/>
          <w:lang w:val="en-US" w:eastAsia="zh-CN"/>
        </w:rPr>
        <w:t xml:space="preserve">三个月</w:t>
      </w:r>
      <w:r>
        <w:rPr>
          <w:rFonts w:hint="eastAsia" w:ascii="宋体" w:hAnsi="宋体" w:cs="宋体"/>
          <w:b/>
          <w:bCs/>
          <w:i/>
          <w:iCs/>
          <w:color w:val="auto"/>
          <w:sz w:val="24"/>
          <w:szCs w:val="24"/>
          <w:highlight w:val="none"/>
          <w:u w:val="single"/>
        </w:rPr>
        <w:t xml:space="preserve">内任意一个月依法缴纳税收及缴纳社会保障资金的证明材料。投标人依法享受缓缴、免缴税收、社会保障资金的提供证明材料。）</w:t>
      </w:r>
      <w:r/>
    </w:p>
    <w:p>
      <w:pPr>
        <w:ind w:firstLine="480"/>
        <w:spacing w:line="360" w:lineRule="auto"/>
        <w:rPr>
          <w:rFonts w:hint="eastAsia" w:ascii="宋体" w:hAnsi="宋体" w:cs="宋体"/>
          <w:b/>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三、</w:t>
      </w:r>
      <w:r>
        <w:rPr>
          <w:rFonts w:hint="eastAsia" w:ascii="宋体" w:hAnsi="宋体" w:cs="宋体"/>
          <w:i/>
          <w:iCs/>
          <w:color w:val="auto"/>
          <w:sz w:val="24"/>
          <w:szCs w:val="24"/>
          <w:highlight w:val="none"/>
          <w:u w:val="single"/>
        </w:rPr>
        <w:t xml:space="preserve"> 上一年度的财务报告情况</w:t>
      </w:r>
      <w:r>
        <w:rPr>
          <w:rFonts w:hint="eastAsia" w:ascii="宋体" w:hAnsi="宋体" w:cs="宋体"/>
          <w:b/>
          <w:bCs/>
          <w:i/>
          <w:iCs/>
          <w:color w:val="auto"/>
          <w:sz w:val="24"/>
          <w:szCs w:val="24"/>
          <w:highlight w:val="none"/>
          <w:u w:val="single"/>
        </w:rPr>
        <w:t xml:space="preserve">（成立不满一年不需提供）</w:t>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四、</w:t>
      </w:r>
      <w:r>
        <w:rPr>
          <w:rFonts w:hint="eastAsia" w:ascii="宋体" w:hAnsi="宋体" w:cs="宋体"/>
          <w:i/>
          <w:iCs/>
          <w:color w:val="auto"/>
          <w:sz w:val="24"/>
          <w:szCs w:val="24"/>
          <w:highlight w:val="none"/>
          <w:u w:val="single"/>
        </w:rPr>
        <w:t xml:space="preserve"> 具备履行合同所必需的设备和专业技术能力的书面声明</w:t>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五、</w:t>
      </w:r>
      <w:r>
        <w:rPr>
          <w:rFonts w:hint="eastAsia" w:ascii="宋体" w:hAnsi="宋体" w:cs="宋体"/>
          <w:i/>
          <w:iCs/>
          <w:color w:val="auto"/>
          <w:sz w:val="24"/>
          <w:szCs w:val="24"/>
          <w:highlight w:val="none"/>
          <w:u w:val="single"/>
        </w:rPr>
        <w:t xml:space="preserve"> 参加本次政府采购活动前3年内在经营活动中没有重大违法记录的书面声明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 w:val="24"/>
          <w:szCs w:val="24"/>
          <w:highlight w:val="none"/>
          <w:u w:val="single"/>
          <w:lang w:val="en-US" w:eastAsia="zh-CN"/>
        </w:rPr>
        <w:t xml:space="preserve">（提供网页截图）</w:t>
      </w:r>
      <w:r/>
    </w:p>
    <w:p>
      <w:pPr>
        <w:ind w:left="480"/>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七、</w:t>
      </w:r>
      <w:r>
        <w:rPr>
          <w:rFonts w:hint="eastAsia" w:ascii="宋体" w:hAnsi="宋体" w:eastAsia="宋体" w:cs="宋体"/>
          <w:i/>
          <w:iCs/>
          <w:color w:val="auto"/>
          <w:sz w:val="24"/>
          <w:szCs w:val="24"/>
          <w:highlight w:val="none"/>
          <w:u w:val="single"/>
        </w:rPr>
        <w:t xml:space="preserve">供应商信用承诺函</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p>
    <w:p>
      <w:pPr>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val="0"/>
          <w:iCs w:val="0"/>
          <w:color w:val="000000"/>
          <w:sz w:val="24"/>
          <w:szCs w:val="24"/>
          <w:highlight w:val="none"/>
          <w:u w:val="none"/>
        </w:rPr>
        <w:t xml:space="preserve">中小企业声明函、</w:t>
      </w:r>
      <w:r>
        <w:rPr>
          <w:rFonts w:hint="eastAsia" w:ascii="宋体" w:hAnsi="宋体"/>
          <w:color w:val="000000"/>
          <w:sz w:val="24"/>
          <w:szCs w:val="24"/>
          <w:highlight w:val="none"/>
          <w:u w:val="none"/>
        </w:rPr>
        <w:t xml:space="preserve">残疾人福利性单位声明函）</w:t>
      </w:r>
      <w:r/>
    </w:p>
    <w:p>
      <w:pPr>
        <w:ind w:firstLine="480"/>
        <w:keepLines w:val="0"/>
        <w:keepNext w:val="0"/>
        <w:pageBreakBefore w:val="0"/>
        <w:spacing w:line="360" w:lineRule="auto"/>
        <w:widowControl w:val="off"/>
        <w:rPr>
          <w:rFonts w:hint="eastAsia" w:ascii="宋体" w:hAnsi="宋体" w:eastAsia="宋体"/>
          <w:sz w:val="24"/>
          <w:szCs w:val="24"/>
          <w:highlight w:val="none"/>
          <w:u w:val="none"/>
          <w:lang w:eastAsia="zh-CN"/>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二</w:t>
      </w:r>
      <w:r>
        <w:rPr>
          <w:rFonts w:hint="eastAsia" w:ascii="宋体" w:hAnsi="宋体"/>
          <w:sz w:val="24"/>
          <w:szCs w:val="24"/>
          <w:highlight w:val="none"/>
          <w:u w:val="none"/>
        </w:rPr>
        <w:t xml:space="preserve">、联合体协议</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如有</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i w:val="0"/>
          <w:iCs/>
          <w:sz w:val="24"/>
          <w:szCs w:val="24"/>
          <w:highlight w:val="none"/>
          <w:u w:val="none"/>
        </w:rPr>
      </w:pPr>
      <w:r>
        <w:rPr>
          <w:rFonts w:hint="eastAsia" w:ascii="宋体" w:hAnsi="宋体"/>
          <w:i w:val="0"/>
          <w:iCs/>
          <w:sz w:val="24"/>
          <w:szCs w:val="24"/>
          <w:highlight w:val="none"/>
          <w:u w:val="none"/>
          <w:lang w:val="en-US" w:eastAsia="zh-CN"/>
        </w:rPr>
        <w:t xml:space="preserve">十三、</w:t>
      </w:r>
      <w:r>
        <w:rPr>
          <w:rFonts w:hint="eastAsia" w:ascii="宋体" w:hAnsi="宋体"/>
          <w:i w:val="0"/>
          <w:iCs/>
          <w:sz w:val="24"/>
          <w:szCs w:val="24"/>
          <w:highlight w:val="none"/>
          <w:u w:val="none"/>
        </w:rPr>
        <w:t xml:space="preserve">符合性审查响应对照表</w:t>
      </w:r>
      <w:r/>
    </w:p>
    <w:p>
      <w:pPr>
        <w:ind w:firstLine="480"/>
        <w:keepLines w:val="0"/>
        <w:keepNext w:val="0"/>
        <w:pageBreakBefore w:val="0"/>
        <w:spacing w:line="360" w:lineRule="auto"/>
        <w:widowControl w:val="off"/>
        <w:rPr>
          <w:rFonts w:ascii="宋体" w:hAnsi="宋体"/>
          <w:color w:val="0000ff"/>
          <w:sz w:val="24"/>
          <w:szCs w:val="24"/>
          <w:highlight w:val="none"/>
          <w:u w:val="none"/>
        </w:rPr>
      </w:pPr>
      <w:r>
        <w:rPr>
          <w:rFonts w:hint="eastAsia" w:ascii="宋体" w:hAnsi="宋体"/>
          <w:i w:val="0"/>
          <w:iCs/>
          <w:sz w:val="24"/>
          <w:szCs w:val="24"/>
          <w:highlight w:val="none"/>
          <w:u w:val="none"/>
          <w:lang w:val="en-US" w:eastAsia="zh-CN"/>
        </w:rPr>
        <w:t xml:space="preserve">十四、</w:t>
      </w:r>
      <w:r>
        <w:rPr>
          <w:rFonts w:hint="eastAsia" w:ascii="宋体" w:hAnsi="宋体"/>
          <w:i w:val="0"/>
          <w:iCs/>
          <w:sz w:val="24"/>
          <w:szCs w:val="24"/>
          <w:highlight w:val="none"/>
          <w:u w:val="none"/>
        </w:rPr>
        <w:t xml:space="preserve">投标分项报价表 </w:t>
      </w:r>
      <w:r>
        <w:rPr>
          <w:rFonts w:hint="eastAsia" w:ascii="宋体" w:hAnsi="宋体"/>
          <w:sz w:val="24"/>
          <w:szCs w:val="24"/>
          <w:highlight w:val="none"/>
          <w:u w:val="none"/>
        </w:rPr>
        <w:t xml:space="preserve">  </w:t>
      </w:r>
      <w:r/>
    </w:p>
    <w:p>
      <w:pPr>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五</w:t>
      </w:r>
      <w:r>
        <w:rPr>
          <w:rFonts w:hint="eastAsia" w:ascii="宋体" w:hAnsi="宋体"/>
          <w:sz w:val="24"/>
          <w:szCs w:val="24"/>
          <w:highlight w:val="none"/>
          <w:u w:val="none"/>
        </w:rPr>
        <w:t xml:space="preserve">、技术要求响应及偏离表</w:t>
      </w:r>
      <w:r/>
    </w:p>
    <w:p>
      <w:pPr>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六</w:t>
      </w:r>
      <w:r>
        <w:rPr>
          <w:rFonts w:hint="eastAsia" w:ascii="宋体" w:hAnsi="宋体"/>
          <w:sz w:val="24"/>
          <w:szCs w:val="24"/>
          <w:highlight w:val="none"/>
          <w:u w:val="none"/>
        </w:rPr>
        <w:t xml:space="preserve">、商务要求响应及偏离表</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p>
    <w:p>
      <w:pPr>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rPr>
          <w:rFonts w:hint="eastAsia" w:ascii="宋体" w:hAnsi="宋体" w:eastAsia="宋体" w:cs="Times New Roman"/>
          <w:iCs/>
          <w:color w:val="000000"/>
          <w:sz w:val="24"/>
          <w:szCs w:val="24"/>
          <w:highlight w:val="none"/>
          <w:u w:val="none"/>
        </w:rPr>
        <w:t xml:space="preserve">（中标后将公示）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十九、</w:t>
      </w:r>
      <w:r>
        <w:rPr>
          <w:rFonts w:hint="eastAsia" w:ascii="宋体" w:hAnsi="宋体"/>
          <w:color w:val="auto"/>
          <w:sz w:val="24"/>
          <w:highlight w:val="none"/>
        </w:rPr>
        <w:t xml:space="preserve">其他 （投标人认为有必要提供的声明和文件，如有自拟并自行添加）</w:t>
      </w:r>
      <w:r/>
    </w:p>
    <w:p>
      <w:pPr>
        <w:numPr>
          <w:ilvl w:val="0"/>
          <w:numId w:val="0"/>
        </w:numPr>
        <w:jc w:val="left"/>
        <w:keepLines/>
        <w:keepNext/>
        <w:pageBreakBefore w:val="0"/>
        <w:spacing w:after="480" w:line="360" w:lineRule="auto"/>
        <w:widowControl w:val="off"/>
        <w:rPr>
          <w:sz w:val="32"/>
          <w:szCs w:val="32"/>
          <w:highlight w:val="none"/>
        </w:rPr>
        <w:outlineLvl w:val="1"/>
      </w:pPr>
      <w:r>
        <w:rPr>
          <w:rFonts w:hint="eastAsia" w:ascii="宋体" w:hAnsi="宋体"/>
          <w:b/>
          <w:bCs/>
          <w:color w:val="auto"/>
          <w:highlight w:val="none"/>
        </w:rPr>
        <w:br w:type="page" w:clear="all"/>
      </w:r>
      <w:r>
        <w:rPr>
          <w:rFonts w:hint="eastAsia" w:ascii="宋体" w:hAnsi="宋体"/>
          <w:b/>
          <w:bCs/>
          <w:i/>
          <w:iCs/>
          <w:color w:val="auto"/>
          <w:sz w:val="24"/>
          <w:szCs w:val="28"/>
          <w:highlight w:val="none"/>
          <w:u w:val="single"/>
          <w:lang w:val="en-US" w:eastAsia="zh-CN"/>
        </w:rPr>
        <w:t xml:space="preserve">一、</w:t>
      </w:r>
      <w:r>
        <w:rPr>
          <w:rFonts w:hint="eastAsia" w:ascii="宋体" w:hAnsi="宋体" w:cs="宋体"/>
          <w:b/>
          <w:bCs/>
          <w:i/>
          <w:iCs/>
          <w:sz w:val="24"/>
          <w:szCs w:val="24"/>
          <w:highlight w:val="none"/>
          <w:u w:val="single"/>
        </w:rPr>
        <w:t xml:space="preserve">法人</w:t>
      </w:r>
      <w:r>
        <w:rPr>
          <w:rFonts w:hint="eastAsia" w:ascii="宋体" w:hAnsi="宋体" w:cs="宋体"/>
          <w:b/>
          <w:bCs/>
          <w:i/>
          <w:sz w:val="24"/>
          <w:szCs w:val="24"/>
          <w:highlight w:val="none"/>
          <w:u w:val="single"/>
        </w:rPr>
        <w:t xml:space="preserve">或者其他组织的营业执照等证明文件，自然人的身份证明</w:t>
      </w:r>
      <w:r/>
    </w:p>
    <w:p>
      <w:pPr>
        <w:jc w:val="left"/>
        <w:keepLines/>
        <w:keepNext/>
        <w:spacing w:before="260" w:line="415" w:lineRule="auto"/>
        <w:rPr>
          <w:rFonts w:hint="eastAsia" w:ascii="宋体" w:hAnsi="宋体" w:cs="宋体"/>
          <w:b/>
          <w:bCs/>
          <w:i/>
          <w:sz w:val="24"/>
          <w:szCs w:val="24"/>
          <w:highlight w:val="none"/>
          <w:u w:val="single"/>
        </w:rPr>
        <w:outlineLvl w:val="1"/>
      </w:pPr>
      <w:r/>
      <w:bookmarkStart w:id="67" w:name="OLE_LINK2"/>
      <w:r/>
      <w:bookmarkStart w:id="68" w:name="OLE_LINK1"/>
      <w:r>
        <w:rPr>
          <w:rFonts w:hint="eastAsia" w:ascii="宋体" w:hAnsi="宋体" w:cs="宋体"/>
          <w:b/>
          <w:bCs/>
          <w:i/>
          <w:sz w:val="24"/>
          <w:szCs w:val="24"/>
          <w:highlight w:val="none"/>
          <w:u w:val="single"/>
        </w:rPr>
        <w:t xml:space="preserve">二、依法缴纳税收和社会保障资金的相关材料</w:t>
      </w:r>
      <w:r/>
    </w:p>
    <w:p>
      <w:pPr>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4"/>
          <w:highlight w:val="none"/>
        </w:rPr>
        <w:t xml:space="preserve">提供提交投标文件截止时间前</w:t>
      </w:r>
      <w:r>
        <w:rPr>
          <w:rFonts w:hint="eastAsia" w:ascii="宋体" w:hAnsi="宋体"/>
          <w:bCs/>
          <w:sz w:val="24"/>
          <w:szCs w:val="24"/>
          <w:highlight w:val="none"/>
          <w:lang w:val="en-US" w:eastAsia="zh-CN"/>
        </w:rPr>
        <w:t xml:space="preserve">三个月</w:t>
      </w:r>
      <w:r>
        <w:rPr>
          <w:rFonts w:hint="eastAsia" w:ascii="宋体" w:hAnsi="宋体"/>
          <w:bCs/>
          <w:sz w:val="24"/>
          <w:szCs w:val="24"/>
          <w:highlight w:val="none"/>
        </w:rPr>
        <w:t xml:space="preserve">内</w:t>
      </w:r>
      <w:r>
        <w:rPr>
          <w:rFonts w:hint="eastAsia" w:ascii="宋体" w:hAnsi="宋体"/>
          <w:bCs/>
          <w:sz w:val="24"/>
          <w:szCs w:val="24"/>
          <w:highlight w:val="none"/>
          <w:lang w:val="en-US" w:eastAsia="zh-CN"/>
        </w:rPr>
        <w:t xml:space="preserve">任意</w:t>
      </w:r>
      <w:r>
        <w:rPr>
          <w:rFonts w:hint="eastAsia" w:ascii="宋体" w:hAnsi="宋体"/>
          <w:bCs/>
          <w:sz w:val="24"/>
          <w:szCs w:val="24"/>
          <w:highlight w:val="none"/>
        </w:rPr>
        <w:t xml:space="preserve">一个月依法缴纳税收及缴纳社会保障资金的证明材料。投标人依法享受缓缴、免缴税收、社会保障资金的提供证明材料。</w:t>
      </w:r>
      <w:bookmarkEnd w:id="67"/>
      <w:r/>
      <w:bookmarkEnd w:id="68"/>
      <w:r/>
      <w:bookmarkStart w:id="69" w:name="OLE_LINK3"/>
      <w:r/>
      <w:bookmarkStart w:id="70" w:name="OLE_LINK4"/>
      <w:r/>
      <w:r/>
    </w:p>
    <w:p>
      <w:pPr>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三、上一年度的财务状况报告</w:t>
      </w:r>
      <w:r/>
    </w:p>
    <w:p>
      <w:pPr>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2"/>
          <w:highlight w:val="none"/>
        </w:rPr>
        <w:t xml:space="preserve">投标人成立不满一年不需提供</w:t>
      </w:r>
      <w:bookmarkEnd w:id="69"/>
      <w:r/>
      <w:bookmarkEnd w:id="70"/>
      <w:r/>
      <w:bookmarkStart w:id="71" w:name="OLE_LINK6"/>
      <w:r/>
      <w:bookmarkStart w:id="72" w:name="OLE_LINK5"/>
      <w:r/>
      <w:r/>
    </w:p>
    <w:p>
      <w:pPr>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四、具备履行合同所必需的设备和专业技术能力的书面声明</w:t>
      </w:r>
      <w:r/>
    </w:p>
    <w:p>
      <w:pPr>
        <w:ind w:firstLine="493"/>
        <w:jc w:val="center"/>
        <w:keepLines w:val="0"/>
        <w:keepNext w:val="0"/>
        <w:pageBreakBefore w:val="0"/>
        <w:spacing w:before="161"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声  明</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主要设备有：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主要专业技术能力有：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bookmarkEnd w:id="71"/>
      <w:r/>
      <w:bookmarkEnd w:id="72"/>
      <w:r/>
      <w:r/>
    </w:p>
    <w:p>
      <w:pPr>
        <w:jc w:val="left"/>
        <w:keepLines/>
        <w:keepNext/>
        <w:pageBreakBefore w:val="0"/>
        <w:spacing w:line="416" w:lineRule="auto"/>
        <w:widowControl w:val="off"/>
        <w:rPr>
          <w:rFonts w:hint="eastAsia" w:ascii="宋体" w:hAnsi="宋体" w:cs="宋体"/>
          <w:b/>
          <w:bCs/>
          <w:i/>
          <w:sz w:val="24"/>
          <w:szCs w:val="24"/>
          <w:highlight w:val="none"/>
          <w:u w:val="single"/>
        </w:rPr>
        <w:outlineLvl w:val="1"/>
      </w:pPr>
      <w:r>
        <w:rPr>
          <w:rFonts w:hint="eastAsia" w:ascii="宋体" w:hAnsi="宋体" w:cs="宋体"/>
          <w:b/>
          <w:bCs/>
          <w:i/>
          <w:sz w:val="24"/>
          <w:szCs w:val="24"/>
          <w:highlight w:val="none"/>
          <w:u w:val="single"/>
        </w:rPr>
      </w:r>
      <w:r/>
    </w:p>
    <w:p>
      <w:pPr>
        <w:jc w:val="left"/>
        <w:keepLines/>
        <w:keepNext/>
        <w:pageBreakBefore w:val="0"/>
        <w:spacing w:line="416" w:lineRule="auto"/>
        <w:widowControl w:val="off"/>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五、参加政府采购活动前 3 年内在经营活动中没有重大违法记录的书面声明</w:t>
      </w:r>
      <w:r/>
    </w:p>
    <w:p>
      <w:pPr>
        <w:jc w:val="center"/>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声  明</w:t>
      </w:r>
      <w:r/>
    </w:p>
    <w:p>
      <w:pPr>
        <w:ind w:firstLine="481"/>
        <w:jc w:val="left"/>
        <w:spacing w:before="156" w:after="156"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p>
    <w:p>
      <w:pPr>
        <w:numPr>
          <w:ilvl w:val="0"/>
          <w:numId w:val="0"/>
        </w:numPr>
        <w:ind w:firstLine="480"/>
        <w:jc w:val="left"/>
        <w:keepLines/>
        <w:keepNext/>
        <w:pageBreakBefore w:val="0"/>
        <w:spacing w:line="416" w:lineRule="auto"/>
        <w:widowControl w:val="off"/>
        <w:rPr>
          <w:rFonts w:ascii="宋体" w:hAnsi="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p>
    <w:p>
      <w:pPr>
        <w:jc w:val="center"/>
        <w:spacing w:line="500" w:lineRule="exact"/>
        <w:rPr>
          <w:rFonts w:ascii="方正仿宋_GBK"/>
          <w:color w:val="auto"/>
          <w:szCs w:val="32"/>
          <w:highlight w:val="none"/>
        </w:rPr>
      </w:pPr>
      <w:r>
        <w:rPr>
          <w:rFonts w:hint="eastAsia" w:ascii="宋体" w:hAnsi="宋体"/>
          <w:b/>
          <w:color w:val="auto"/>
          <w:szCs w:val="21"/>
          <w:highlight w:val="none"/>
        </w:rPr>
        <w:t xml:space="preserve">供应商信用承诺书</w:t>
      </w:r>
      <w:r/>
    </w:p>
    <w:p>
      <w:pPr>
        <w:keepLines w:val="0"/>
        <w:keepNext w:val="0"/>
        <w:pageBreakBefore w:val="0"/>
        <w:spacing w:line="480" w:lineRule="exact"/>
        <w:widowControl w:val="off"/>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keepLines w:val="0"/>
        <w:keepNext w:val="0"/>
        <w:pageBreakBefore w:val="0"/>
        <w:spacing w:line="480" w:lineRule="exact"/>
        <w:widowControl w:val="off"/>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承诺单位</w:t>
      </w:r>
      <w:r>
        <w:rPr>
          <w:rFonts w:hint="eastAsia" w:ascii="宋体" w:hAnsi="宋体" w:cs="宋体"/>
          <w:sz w:val="21"/>
          <w:szCs w:val="21"/>
          <w:highlight w:val="none"/>
        </w:rPr>
        <w:t xml:space="preserve">（加盖CA电子公章）</w:t>
      </w:r>
      <w:r>
        <w:rPr>
          <w:rFonts w:hint="eastAsia" w:ascii="宋体" w:hAnsi="宋体"/>
          <w:color w:val="auto"/>
          <w:sz w:val="21"/>
          <w:szCs w:val="21"/>
          <w:highlight w:val="none"/>
        </w:rPr>
        <w:t xml:space="preserve">：</w:t>
      </w:r>
      <w:r>
        <w:rPr>
          <w:rFonts w:hint="eastAsia" w:ascii="宋体" w:hAnsi="宋体"/>
          <w:color w:val="auto"/>
          <w:szCs w:val="21"/>
          <w:highlight w:val="none"/>
        </w:rPr>
        <w:t xml:space="preserve">           </w:t>
      </w:r>
      <w:r/>
    </w:p>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pStyle w:val="875"/>
        <w:jc w:val="right"/>
        <w:rPr>
          <w:rFonts w:hint="eastAsia" w:ascii="宋体" w:hAnsi="宋体" w:eastAsia="宋体" w:cs="Times New Roman"/>
          <w:b w:val="0"/>
          <w:bCs w:val="0"/>
          <w:color w:val="auto"/>
          <w:sz w:val="21"/>
          <w:szCs w:val="21"/>
          <w:highlight w:val="none"/>
          <w:lang w:val="en-US" w:eastAsia="zh-CN" w:bidi="ar-SA"/>
        </w:rPr>
      </w:pPr>
      <w:r/>
      <w:bookmarkStart w:id="73" w:name="_Toc20792"/>
      <w:r>
        <w:rPr>
          <w:rFonts w:hint="eastAsia" w:ascii="宋体" w:hAnsi="宋体" w:eastAsia="宋体" w:cs="Times New Roman"/>
          <w:b w:val="0"/>
          <w:bCs w:val="0"/>
          <w:color w:val="auto"/>
          <w:sz w:val="21"/>
          <w:szCs w:val="21"/>
          <w:highlight w:val="none"/>
          <w:lang w:val="en-US" w:eastAsia="zh-CN" w:bidi="ar-SA"/>
        </w:rPr>
        <w:t xml:space="preserve">年    月    日</w:t>
      </w:r>
      <w:bookmarkEnd w:id="73"/>
      <w:r/>
      <w:r/>
    </w:p>
    <w:p>
      <w:pPr>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p>
    <w:p>
      <w:pPr>
        <w:pStyle w:val="927"/>
        <w:ind w:left="0" w:firstLine="0"/>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2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2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27"/>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p>
    <w:p>
      <w:pPr>
        <w:pStyle w:val="927"/>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2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（加盖CA电子公章）</w:t>
      </w:r>
      <w:r/>
    </w:p>
    <w:p>
      <w:pPr>
        <w:pStyle w:val="927"/>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27"/>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p>
    <w:p>
      <w:pPr>
        <w:spacing w:line="460" w:lineRule="exact"/>
        <w:rPr>
          <w:rFonts w:ascii="宋体" w:hAnsi="宋体"/>
          <w:bCs/>
          <w:color w:val="auto"/>
          <w:highlight w:val="none"/>
        </w:rPr>
      </w:pPr>
      <w:r>
        <w:rPr>
          <w:rFonts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被授权人身份证复印件：</w:t>
      </w:r>
      <w:r/>
    </w:p>
    <w:p>
      <w:pPr>
        <w:ind w:firstLine="640"/>
        <w:jc w:val="left"/>
        <w:keepLines/>
        <w:keepNext/>
        <w:pageBreakBefore w:val="0"/>
        <w:spacing w:line="416" w:lineRule="auto"/>
        <w:widowControl w:val="off"/>
        <w:rPr>
          <w:rFonts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十</w:t>
      </w:r>
      <w:r>
        <w:rPr>
          <w:rFonts w:hint="eastAsia" w:ascii="宋体" w:hAnsi="宋体" w:eastAsia="宋体" w:cs="宋体"/>
          <w:b/>
          <w:bCs/>
          <w:i/>
          <w:sz w:val="24"/>
          <w:szCs w:val="24"/>
          <w:highlight w:val="none"/>
          <w:u w:val="single"/>
          <w:lang w:eastAsia="zh-CN"/>
        </w:rPr>
        <w:t xml:space="preserve">、</w:t>
      </w:r>
      <w:r>
        <w:rPr>
          <w:rFonts w:hint="eastAsia" w:ascii="宋体" w:hAnsi="宋体" w:eastAsia="宋体" w:cs="宋体"/>
          <w:b/>
          <w:bCs/>
          <w:i/>
          <w:sz w:val="24"/>
          <w:szCs w:val="24"/>
          <w:highlight w:val="none"/>
          <w:u w:val="single"/>
        </w:rPr>
        <w:t xml:space="preserve">投标函</w:t>
      </w:r>
      <w:r/>
    </w:p>
    <w:p>
      <w:pPr>
        <w:jc w:val="center"/>
        <w:spacing w:line="360" w:lineRule="auto"/>
        <w:rPr>
          <w:rFonts w:hint="eastAsia" w:ascii="宋体" w:hAnsi="宋体"/>
          <w:b/>
          <w:color w:val="auto"/>
          <w:highlight w:val="none"/>
        </w:rPr>
      </w:pPr>
      <w:r>
        <w:rPr>
          <w:rFonts w:hint="eastAsia" w:ascii="宋体" w:hAnsi="宋体"/>
          <w:b/>
          <w:color w:val="auto"/>
          <w:highlight w:val="none"/>
        </w:rPr>
        <w:t xml:space="preserve">投标函</w:t>
      </w:r>
      <w:r/>
    </w:p>
    <w:p>
      <w:pPr>
        <w:pStyle w:val="927"/>
        <w:ind w:left="0" w:firstLine="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u w:val="single"/>
          <w:lang w:eastAsia="zh-CN"/>
        </w:rPr>
        <w:t xml:space="preserve">扬州博远工程咨询有限公司</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）号</w:t>
      </w:r>
      <w:r>
        <w:rPr>
          <w:rFonts w:hint="eastAsia" w:ascii="宋体" w:hAnsi="宋体"/>
          <w:color w:val="auto"/>
          <w:sz w:val="21"/>
          <w:szCs w:val="21"/>
          <w:highlight w:val="none"/>
        </w:rPr>
        <w:t xml:space="preserve">招标文件，正式授权下述签字人_________________(姓名)代表我方______________（投标人的名称），全权处理本次项目投标的有关事宜。</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0"/>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ind w:firstLine="420"/>
        <w:spacing w:line="360" w:lineRule="auto"/>
        <w:rPr>
          <w:rFonts w:hint="eastAsia" w:ascii="宋体" w:hAnsi="宋体"/>
          <w:b/>
          <w:bCs/>
          <w:color w:val="auto"/>
          <w:highlight w:val="none"/>
        </w:rPr>
      </w:pPr>
      <w:r>
        <w:rPr>
          <w:rFonts w:hint="eastAsia" w:ascii="宋体" w:hAnsi="宋体"/>
          <w:color w:val="auto"/>
          <w:sz w:val="21"/>
          <w:szCs w:val="21"/>
          <w:highlight w:val="none"/>
        </w:rPr>
        <w:t xml:space="preserve">日 期：________年____月____日</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十一、</w:t>
      </w:r>
      <w:r>
        <w:rPr>
          <w:rFonts w:hint="eastAsia" w:ascii="宋体" w:hAnsi="宋体" w:eastAsia="宋体" w:cs="宋体"/>
          <w:b/>
          <w:bCs/>
          <w:i/>
          <w:sz w:val="24"/>
          <w:szCs w:val="24"/>
          <w:highlight w:val="none"/>
          <w:u w:val="single"/>
        </w:rPr>
        <w:t xml:space="preserve">中小企业声明函（货物）</w:t>
      </w:r>
      <w:r/>
    </w:p>
    <w:p>
      <w:pPr>
        <w:jc w:val="center"/>
        <w:spacing w:line="360" w:lineRule="auto"/>
        <w:rPr>
          <w:rFonts w:hint="eastAsia"/>
          <w:highlight w:val="none"/>
        </w:rPr>
      </w:pPr>
      <w:r>
        <w:rPr>
          <w:rFonts w:hint="eastAsia" w:ascii="宋体" w:hAnsi="宋体" w:eastAsia="宋体" w:cs="Times New Roman"/>
          <w:b/>
          <w:color w:val="auto"/>
          <w:highlight w:val="none"/>
        </w:rPr>
        <w:t xml:space="preserve">中小企业声明函（货物）</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本公司（联合体）郑重声明，根据《政府采购促进中小企业发展管理办法》(财库[2020]46号)的规定，本公司（联合体）参加的</w:t>
      </w:r>
      <w:r>
        <w:rPr>
          <w:rFonts w:hint="eastAsia" w:ascii="宋体" w:hAnsi="宋体" w:eastAsia="宋体" w:cs="Times New Roman"/>
          <w:color w:val="auto"/>
          <w:sz w:val="21"/>
          <w:szCs w:val="21"/>
          <w:highlight w:val="none"/>
          <w:u w:val="single"/>
        </w:rPr>
        <w:t xml:space="preserve">（单位名称）</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u w:val="single"/>
        </w:rPr>
        <w:t xml:space="preserve">（项目名称）</w:t>
      </w:r>
      <w:r>
        <w:rPr>
          <w:rFonts w:hint="eastAsia" w:ascii="宋体" w:hAnsi="宋体" w:eastAsia="宋体" w:cs="Times New Roman"/>
          <w:color w:val="auto"/>
          <w:sz w:val="21"/>
          <w:szCs w:val="21"/>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u w:val="single"/>
        </w:rPr>
        <w:t xml:space="preserve">（标的名称）</w:t>
      </w:r>
      <w:r>
        <w:rPr>
          <w:rFonts w:hint="eastAsia" w:ascii="宋体" w:hAnsi="宋体" w:eastAsia="宋体" w:cs="Times New Roman"/>
          <w:color w:val="auto"/>
          <w:sz w:val="21"/>
          <w:szCs w:val="21"/>
          <w:highlight w:val="none"/>
        </w:rPr>
        <w:t xml:space="preserve">，属于</w:t>
      </w:r>
      <w:r>
        <w:rPr>
          <w:rFonts w:hint="eastAsia" w:ascii="宋体" w:hAnsi="宋体" w:eastAsia="宋体" w:cs="Times New Roman"/>
          <w:b/>
          <w:bCs/>
          <w:color w:val="auto"/>
          <w:sz w:val="21"/>
          <w:szCs w:val="21"/>
          <w:highlight w:val="none"/>
          <w:u w:val="single"/>
        </w:rPr>
        <w:t xml:space="preserve"> </w:t>
      </w:r>
      <w:r>
        <w:rPr>
          <w:rFonts w:hint="eastAsia" w:ascii="宋体" w:hAnsi="宋体" w:eastAsia="宋体" w:cs="Times New Roman"/>
          <w:b/>
          <w:bCs/>
          <w:color w:val="ff0000"/>
          <w:sz w:val="21"/>
          <w:szCs w:val="21"/>
          <w:highlight w:val="none"/>
          <w:u w:val="single"/>
        </w:rPr>
        <w:t xml:space="preserve">工业</w:t>
      </w:r>
      <w:r>
        <w:rPr>
          <w:rFonts w:hint="eastAsia" w:ascii="宋体" w:hAnsi="宋体" w:eastAsia="宋体" w:cs="Times New Roman"/>
          <w:b/>
          <w:bCs/>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行业；制造商为（企业名称），从业人员</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人，营业收入为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万元，资产总额为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万元，属于</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（中型企业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小型企业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微型企业）</w:t>
      </w:r>
      <w:r>
        <w:rPr>
          <w:rFonts w:hint="eastAsia" w:ascii="宋体" w:hAnsi="宋体" w:eastAsia="宋体" w:cs="Times New Roman"/>
          <w:color w:val="auto"/>
          <w:sz w:val="21"/>
          <w:szCs w:val="21"/>
          <w:highlight w:val="none"/>
        </w:rPr>
        <w:t xml:space="preserve">；</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u w:val="single"/>
        </w:rPr>
        <w:t xml:space="preserve">（标的名称）</w:t>
      </w:r>
      <w:r>
        <w:rPr>
          <w:rFonts w:hint="eastAsia" w:ascii="宋体" w:hAnsi="宋体" w:eastAsia="宋体" w:cs="Times New Roman"/>
          <w:color w:val="auto"/>
          <w:sz w:val="21"/>
          <w:szCs w:val="21"/>
          <w:highlight w:val="none"/>
        </w:rPr>
        <w:t xml:space="preserve">，属于</w:t>
      </w:r>
      <w:r>
        <w:rPr>
          <w:rFonts w:hint="eastAsia" w:ascii="宋体" w:hAnsi="宋体" w:eastAsia="宋体" w:cs="Times New Roman"/>
          <w:b/>
          <w:bCs/>
          <w:color w:val="auto"/>
          <w:sz w:val="21"/>
          <w:szCs w:val="21"/>
          <w:highlight w:val="none"/>
          <w:u w:val="single"/>
        </w:rPr>
        <w:t xml:space="preserve"> </w:t>
      </w:r>
      <w:r>
        <w:rPr>
          <w:rFonts w:hint="eastAsia" w:ascii="宋体" w:hAnsi="宋体" w:eastAsia="宋体" w:cs="Times New Roman"/>
          <w:b/>
          <w:bCs/>
          <w:color w:val="ff0000"/>
          <w:sz w:val="21"/>
          <w:szCs w:val="21"/>
          <w:highlight w:val="none"/>
          <w:u w:val="single"/>
        </w:rPr>
        <w:t xml:space="preserve">工业 </w:t>
      </w:r>
      <w:r>
        <w:rPr>
          <w:rFonts w:hint="eastAsia" w:ascii="宋体" w:hAnsi="宋体" w:eastAsia="宋体" w:cs="Times New Roman"/>
          <w:b/>
          <w:bCs/>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行业；制造商为（企业名称），从业人员</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人，营业收入为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万元，资产总额为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万元，属于</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（中型企业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小型企业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微型企业）</w:t>
      </w:r>
      <w:r>
        <w:rPr>
          <w:rFonts w:hint="eastAsia" w:ascii="宋体" w:hAnsi="宋体" w:eastAsia="宋体" w:cs="Times New Roman"/>
          <w:color w:val="auto"/>
          <w:sz w:val="21"/>
          <w:szCs w:val="21"/>
          <w:highlight w:val="none"/>
        </w:rPr>
        <w:t xml:space="preserve">；</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以上企业，不属于大企业的分支机构，不存在控股股东为大企业的情形，也不存在与大企业的负责人为同一人的情形。</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本企业对上述声明内容的真实性负责。如有虚假，将依法承担相应责任</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lang w:val="en-US" w:eastAsia="zh-CN"/>
        </w:rPr>
        <w:t xml:space="preserve">2</w:t>
      </w:r>
      <w:r>
        <w:rPr>
          <w:rFonts w:hint="eastAsia" w:ascii="宋体" w:hAnsi="宋体"/>
          <w:color w:val="auto"/>
          <w:highlight w:val="none"/>
        </w:rPr>
        <w:t xml:space="preserve">、企业声明函请完整填写，中标后将公示。</w:t>
      </w:r>
      <w:r/>
    </w:p>
    <w:p>
      <w:pPr>
        <w:ind w:firstLine="420"/>
        <w:jc w:val="left"/>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、投标人应当对其出具的《中小企业声明函》真实性负责，投标人出具的《中小企业声明函》内容不实的，属于提供虚假材料谋取中标。</w:t>
      </w:r>
      <w:r/>
    </w:p>
    <w:p>
      <w:pPr>
        <w:ind w:firstLine="420"/>
        <w:jc w:val="left"/>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、中小企业不得属于大企业的分支机构，不得存在控股股东为大企业的情形，不得存在与大企业的负责人为同一人的情形。</w:t>
      </w:r>
      <w:r/>
    </w:p>
    <w:p>
      <w:pPr>
        <w:ind w:firstLine="420"/>
        <w:jc w:val="left"/>
        <w:rPr>
          <w:color w:val="auto"/>
          <w:highlight w:val="none"/>
        </w:rPr>
      </w:pPr>
      <w:r>
        <w:rPr>
          <w:rFonts w:hint="eastAsia"/>
          <w:color w:val="auto"/>
          <w:highlight w:val="none"/>
          <w:lang w:val="en-US" w:eastAsia="zh-CN"/>
        </w:rPr>
        <w:t xml:space="preserve">5</w:t>
      </w:r>
      <w:r>
        <w:rPr>
          <w:rFonts w:hint="eastAsia"/>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20"/>
        <w:ind w:firstLine="480"/>
        <w:spacing w:before="0" w:after="0"/>
        <w:rPr>
          <w:rFonts w:hint="eastAsia" w:ascii="宋体" w:hAnsi="宋体" w:eastAsia="宋体" w:cs="Times New Roman"/>
          <w:color w:val="auto"/>
          <w:sz w:val="21"/>
          <w:szCs w:val="21"/>
          <w:highlight w:val="none"/>
        </w:rPr>
      </w:pPr>
      <w:r>
        <w:rPr>
          <w:rFonts w:ascii="宋体" w:hAnsi="宋体"/>
          <w:sz w:val="24"/>
          <w:szCs w:val="24"/>
          <w:highlight w:val="none"/>
        </w:rPr>
        <w:t xml:space="preserve">           </w:t>
      </w:r>
      <w:r/>
    </w:p>
    <w:p>
      <w:pPr>
        <w:pStyle w:val="920"/>
        <w:ind w:firstLine="420"/>
        <w:jc w:val="right"/>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企业名称（加盖CA电子公章）：</w:t>
      </w:r>
      <w:r/>
    </w:p>
    <w:p>
      <w:pPr>
        <w:pStyle w:val="920"/>
        <w:ind w:firstLine="5880"/>
        <w:jc w:val="both"/>
        <w:spacing w:before="0" w:after="0"/>
        <w:rPr>
          <w:rFonts w:ascii="宋体" w:hAnsi="宋体"/>
          <w:sz w:val="24"/>
          <w:szCs w:val="24"/>
          <w:highlight w:val="none"/>
        </w:rPr>
      </w:pPr>
      <w:r>
        <w:rPr>
          <w:rFonts w:hint="eastAsia" w:ascii="宋体" w:hAnsi="宋体" w:eastAsia="宋体" w:cs="Times New Roman"/>
          <w:color w:val="auto"/>
          <w:sz w:val="21"/>
          <w:szCs w:val="21"/>
          <w:highlight w:val="none"/>
        </w:rPr>
        <w:t xml:space="preserve">日  期：</w:t>
      </w:r>
      <w:r/>
    </w:p>
    <w:p>
      <w:pPr>
        <w:pStyle w:val="874"/>
        <w:jc w:val="center"/>
        <w:pageBreakBefore w:val="0"/>
        <w:spacing w:before="0" w:beforeAutospacing="0" w:after="300" w:line="300" w:lineRule="exact"/>
        <w:widowControl/>
        <w:rPr>
          <w:rFonts w:ascii="宋体" w:hAnsi="宋体"/>
          <w:color w:val="auto"/>
          <w:sz w:val="21"/>
          <w:szCs w:val="21"/>
          <w:highlight w:val="none"/>
        </w:rPr>
      </w:pPr>
      <w:r>
        <w:rPr>
          <w:rFonts w:hint="eastAsia" w:ascii="宋体" w:hAnsi="宋体"/>
          <w:b w:val="0"/>
          <w:bCs w:val="0"/>
          <w:color w:val="auto"/>
          <w:highlight w:val="none"/>
        </w:rPr>
        <w:br w:type="page" w:clear="all"/>
      </w:r>
      <w:bookmarkStart w:id="74" w:name="_Toc13394"/>
      <w:r/>
      <w:bookmarkStart w:id="75" w:name="_Toc19241"/>
      <w:r/>
      <w:bookmarkStart w:id="76" w:name="_Toc19691"/>
      <w:r/>
      <w:bookmarkStart w:id="77" w:name="_Toc22620"/>
      <w:r/>
      <w:bookmarkStart w:id="78" w:name="_Toc19182"/>
      <w:r/>
      <w:bookmarkStart w:id="79" w:name="_Toc91061195"/>
      <w:r>
        <w:rPr>
          <w:rFonts w:hint="eastAsia" w:ascii="宋体" w:hAnsi="宋体" w:cs="微软雅黑"/>
          <w:bCs w:val="0"/>
          <w:color w:val="auto"/>
          <w:sz w:val="21"/>
          <w:szCs w:val="21"/>
          <w:highlight w:val="none"/>
        </w:rPr>
        <w:t xml:space="preserve">中小微企业划型标准</w:t>
      </w:r>
      <w:bookmarkEnd w:id="74"/>
      <w:r/>
      <w:bookmarkEnd w:id="75"/>
      <w:r/>
      <w:bookmarkEnd w:id="76"/>
      <w:r/>
      <w:bookmarkEnd w:id="77"/>
      <w:r/>
      <w:bookmarkEnd w:id="78"/>
      <w:r/>
      <w:bookmarkEnd w:id="79"/>
      <w:r/>
      <w:r/>
    </w:p>
    <w:p>
      <w:pPr>
        <w:pStyle w:val="894"/>
        <w:pageBreakBefore w:val="0"/>
        <w:spacing w:before="0" w:beforeAutospacing="0" w:after="452" w:line="300" w:lineRule="exact"/>
        <w:widowControl/>
        <w:rPr>
          <w:rStyle w:val="897"/>
          <w:rFonts w:hint="eastAsia" w:ascii="宋体" w:hAnsi="宋体" w:cs="仿宋"/>
          <w:color w:val="auto"/>
          <w:sz w:val="21"/>
          <w:szCs w:val="21"/>
          <w:highlight w:val="none"/>
        </w:rPr>
      </w:pPr>
      <w:r>
        <w:rPr>
          <w:rStyle w:val="897"/>
          <w:rFonts w:hint="eastAsia" w:ascii="宋体" w:hAnsi="宋体" w:cs="仿宋"/>
          <w:color w:val="auto"/>
          <w:sz w:val="21"/>
          <w:szCs w:val="21"/>
          <w:highlight w:val="none"/>
        </w:rPr>
        <w:t xml:space="preserve">中小微企业划型标准如下：</w:t>
      </w:r>
      <w:r/>
    </w:p>
    <w:tbl>
      <w:tblPr>
        <w:tblStyle w:val="878"/>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jc w:val="center"/>
          <w:tblCellSpacing w:w="15" w:type="dxa"/>
          <w:trHeight w:val="285"/>
        </w:trPr>
        <w:tc>
          <w:tcPr>
            <w:tcW w:w="1803"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行业名称</w:t>
            </w:r>
            <w:r/>
          </w:p>
        </w:tc>
        <w:tc>
          <w:tcPr>
            <w:tcW w:w="1558"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指标名称</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计量单位</w:t>
            </w:r>
            <w:r/>
          </w:p>
        </w:tc>
        <w:tc>
          <w:tcPr>
            <w:tcW w:w="1886"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中型</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小型</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微型</w:t>
            </w:r>
            <w:r/>
          </w:p>
        </w:tc>
      </w:tr>
      <w:tr>
        <w:trPr>
          <w:jc w:val="center"/>
          <w:tblCellSpacing w:w="15" w:type="dxa"/>
          <w:trHeight w:val="225"/>
        </w:trPr>
        <w:tc>
          <w:tcPr>
            <w:tcW w:w="1803"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农、林、牧、渔</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50≤Y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工业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300≤X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2000≤Y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40000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300≤Y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建筑业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6000≤Y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80000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300≤Y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6000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资产总额（</w:t>
            </w:r>
            <w:r>
              <w:rPr>
                <w:rStyle w:val="936"/>
                <w:rFonts w:hint="eastAsia" w:ascii="宋体" w:hAnsi="宋体" w:cs="仿宋"/>
                <w:sz w:val="21"/>
                <w:highlight w:val="none"/>
              </w:rPr>
              <w:t xml:space="preserve">Z</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5000≤Z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80000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300≤Z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批发业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20≤X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5≤X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40000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零售业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交通运输业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300≤X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3000≤Y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仓储业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邮政业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300≤X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2000≤Y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住宿业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2000≤Y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餐饮业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2000≤Y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信息传输业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软件和信息技术服务业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50≤Y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房地产开发经营</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资产总额（</w:t>
            </w:r>
            <w:r>
              <w:rPr>
                <w:rStyle w:val="936"/>
                <w:rFonts w:hint="eastAsia" w:ascii="宋体" w:hAnsi="宋体" w:cs="仿宋"/>
                <w:sz w:val="21"/>
                <w:highlight w:val="none"/>
              </w:rPr>
              <w:t xml:space="preserve">Z</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5000≤Z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物业管理</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300≤X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500≤Y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租赁和商务服务业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资产总额（</w:t>
            </w:r>
            <w:r>
              <w:rPr>
                <w:rStyle w:val="936"/>
                <w:rFonts w:hint="eastAsia" w:ascii="宋体" w:hAnsi="宋体" w:cs="仿宋"/>
                <w:sz w:val="21"/>
                <w:highlight w:val="none"/>
              </w:rPr>
              <w:t xml:space="preserve">Z</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8000≤Z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120000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8000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其他未列明行业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bl>
    <w:p>
      <w:pPr>
        <w:keepLines w:val="0"/>
        <w:keepNext w:val="0"/>
        <w:pageBreakBefore w:val="0"/>
        <w:spacing w:line="240" w:lineRule="auto"/>
        <w:widowControl w:val="off"/>
        <w:rPr>
          <w:rStyle w:val="897"/>
          <w:rFonts w:hint="eastAsia" w:ascii="宋体" w:hAnsi="宋体" w:cs="仿宋"/>
          <w:color w:val="auto"/>
          <w:sz w:val="21"/>
          <w:szCs w:val="21"/>
          <w:highlight w:val="none"/>
        </w:rPr>
      </w:pPr>
      <w:r>
        <w:rPr>
          <w:rStyle w:val="897"/>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keepLines w:val="0"/>
        <w:keepNext w:val="0"/>
        <w:pageBreakBefore w:val="0"/>
        <w:spacing w:line="360" w:lineRule="auto"/>
        <w:widowControl w:val="off"/>
        <w:rPr>
          <w:rFonts w:hint="eastAsia" w:ascii="黑体" w:hAnsi="黑体" w:eastAsia="黑体"/>
          <w:b/>
          <w:sz w:val="32"/>
          <w:szCs w:val="32"/>
          <w:highlight w:val="none"/>
        </w:rPr>
      </w:pPr>
      <w:r>
        <w:rPr>
          <w:rStyle w:val="897"/>
          <w:rFonts w:hint="eastAsia" w:ascii="宋体" w:hAnsi="宋体" w:cs="仿宋"/>
          <w:color w:val="auto"/>
          <w:sz w:val="21"/>
          <w:szCs w:val="21"/>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p>
    <w:p>
      <w:pPr>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p>
    <w:p>
      <w:pPr>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p>
    <w:p>
      <w:pPr>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p>
    <w:p>
      <w:pPr>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p>
    <w:p>
      <w:pPr>
        <w:ind w:firstLine="211"/>
        <w:jc w:val="left"/>
        <w:keepLines w:val="0"/>
        <w:keepNext w:val="0"/>
        <w:pageBreakBefore w:val="0"/>
        <w:spacing w:before="157" w:line="480" w:lineRule="auto"/>
        <w:widowControl w:val="off"/>
        <w:rPr>
          <w:rFonts w:hint="eastAsia" w:ascii="方正魏碑_GBK" w:hAnsi="方正魏碑_GBK" w:eastAsia="方正魏碑_GBK" w:cs="方正魏碑_GBK"/>
          <w:b w:val="0"/>
          <w:bCs/>
          <w:color w:val="auto"/>
          <w:sz w:val="24"/>
          <w:szCs w:val="24"/>
        </w:rPr>
      </w:pPr>
      <w:r>
        <w:rPr>
          <w:rFonts w:hint="eastAsia" w:ascii="宋体" w:hAnsi="宋体"/>
          <w:b/>
          <w:bCs/>
          <w:szCs w:val="21"/>
          <w:highlight w:val="none"/>
          <w:lang w:val="en-US" w:eastAsia="zh-CN"/>
        </w:rPr>
        <w:t xml:space="preserve">十一、</w:t>
      </w:r>
      <w:r>
        <w:rPr>
          <w:rFonts w:hint="eastAsia" w:ascii="宋体" w:hAnsi="宋体"/>
          <w:b/>
          <w:bCs/>
          <w:szCs w:val="21"/>
          <w:highlight w:val="none"/>
        </w:rPr>
        <w:t xml:space="preserve">关于符合本国产品标准的声明函</w:t>
      </w:r>
      <w:r/>
    </w:p>
    <w:p>
      <w:pPr>
        <w:pStyle w:val="894"/>
        <w:ind w:firstLine="420"/>
        <w:spacing w:before="0" w:beforeAutospacing="0" w:after="0" w:afterAutospacing="0" w:line="0" w:lineRule="atLeast"/>
        <w:rPr>
          <w:rFonts w:ascii="方正魏碑_GBK" w:hAnsi="方正魏碑_GBK" w:eastAsia="方正魏碑_GBK" w:cs="方正魏碑_GBK"/>
          <w:b w:val="0"/>
          <w:bCs/>
          <w:color w:val="auto"/>
        </w:rPr>
      </w:pPr>
      <w:r>
        <w:rPr>
          <w:rFonts w:ascii="方正魏碑_GBK" w:hAnsi="方正魏碑_GBK" w:eastAsia="方正魏碑_GBK" w:cs="方正魏碑_GBK"/>
          <w:b w:val="0"/>
          <w:bCs/>
          <w:color w:val="auto"/>
        </w:rPr>
      </w:r>
      <w:r/>
    </w:p>
    <w:p>
      <w:pPr>
        <w:pStyle w:val="894"/>
        <w:ind w:firstLine="420"/>
        <w:spacing w:before="0" w:beforeAutospacing="0" w:after="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shd w:val="clear" w:color="auto" w:fill="ffffff"/>
        </w:rPr>
        <w:t xml:space="preserve">1.</w:t>
      </w:r>
      <w:r>
        <w:rPr>
          <w:rStyle w:val="898"/>
          <w:rFonts w:hint="eastAsia" w:ascii="方正魏碑_GBK" w:hAnsi="方正魏碑_GBK" w:eastAsia="方正魏碑_GBK" w:cs="方正魏碑_GBK"/>
          <w:b w:val="0"/>
          <w:bCs/>
          <w:i w:val="0"/>
          <w:color w:val="auto"/>
          <w:u w:val="single"/>
          <w:shd w:val="clear" w:color="auto" w:fill="ffffff"/>
        </w:rPr>
        <w:t xml:space="preserve">（产品名称1）</w:t>
      </w:r>
      <w:r>
        <w:rPr>
          <w:rStyle w:val="898"/>
          <w:rFonts w:hint="eastAsia" w:ascii="方正魏碑_GBK" w:hAnsi="方正魏碑_GBK" w:eastAsia="方正魏碑_GBK" w:cs="方正魏碑_GBK"/>
          <w:b w:val="0"/>
          <w:bCs/>
          <w:i w:val="0"/>
          <w:color w:val="auto"/>
          <w:shd w:val="clear" w:color="auto" w:fill="ffffff"/>
          <w:vertAlign w:val="superscript"/>
        </w:rPr>
        <w:t xml:space="preserve">1</w:t>
      </w:r>
      <w:r>
        <w:rPr>
          <w:rFonts w:hint="eastAsia" w:ascii="方正魏碑_GBK" w:hAnsi="方正魏碑_GBK" w:eastAsia="方正魏碑_GBK" w:cs="方正魏碑_GBK"/>
          <w:b w:val="0"/>
          <w:bCs/>
          <w:color w:val="auto"/>
          <w:shd w:val="clear" w:color="auto" w:fill="ffffff"/>
        </w:rPr>
        <w:t xml:space="preserve">，生产厂为</w:t>
      </w:r>
      <w:r>
        <w:rPr>
          <w:rStyle w:val="898"/>
          <w:rFonts w:hint="eastAsia" w:ascii="方正魏碑_GBK" w:hAnsi="方正魏碑_GBK" w:eastAsia="方正魏碑_GBK" w:cs="方正魏碑_GBK"/>
          <w:b w:val="0"/>
          <w:bCs/>
          <w:i w:val="0"/>
          <w:color w:val="auto"/>
          <w:u w:val="single"/>
          <w:shd w:val="clear" w:color="auto" w:fill="ffffff"/>
        </w:rPr>
        <w:t xml:space="preserve">（厂名）</w:t>
      </w:r>
      <w:r>
        <w:rPr>
          <w:rStyle w:val="898"/>
          <w:rFonts w:hint="eastAsia" w:ascii="方正魏碑_GBK" w:hAnsi="方正魏碑_GBK" w:eastAsia="方正魏碑_GBK" w:cs="方正魏碑_GBK"/>
          <w:b w:val="0"/>
          <w:bCs/>
          <w:i w:val="0"/>
          <w:color w:val="auto"/>
          <w:shd w:val="clear" w:color="auto" w:fill="ffffff"/>
          <w:vertAlign w:val="superscript"/>
        </w:rPr>
        <w:t xml:space="preserve">2</w:t>
      </w:r>
      <w:r>
        <w:rPr>
          <w:rFonts w:hint="eastAsia" w:ascii="方正魏碑_GBK" w:hAnsi="方正魏碑_GBK" w:eastAsia="方正魏碑_GBK" w:cs="方正魏碑_GBK"/>
          <w:b w:val="0"/>
          <w:bCs/>
          <w:color w:val="auto"/>
          <w:shd w:val="clear" w:color="auto" w:fill="ffffff"/>
        </w:rPr>
        <w:t xml:space="preserve">，厂址为</w:t>
      </w:r>
      <w:r>
        <w:rPr>
          <w:rStyle w:val="898"/>
          <w:rFonts w:hint="eastAsia" w:ascii="方正魏碑_GBK" w:hAnsi="方正魏碑_GBK" w:eastAsia="方正魏碑_GBK" w:cs="方正魏碑_GBK"/>
          <w:b w:val="0"/>
          <w:bCs/>
          <w:i w:val="0"/>
          <w:color w:val="auto"/>
          <w:u w:val="single"/>
          <w:shd w:val="clear" w:color="auto" w:fill="ffffff"/>
        </w:rPr>
        <w:t xml:space="preserve">（生产厂址）</w:t>
      </w:r>
      <w:r>
        <w:rPr>
          <w:rFonts w:hint="eastAsia" w:ascii="方正魏碑_GBK" w:hAnsi="方正魏碑_GBK" w:eastAsia="方正魏碑_GBK" w:cs="方正魏碑_GBK"/>
          <w:b w:val="0"/>
          <w:bCs/>
          <w:color w:val="auto"/>
          <w:shd w:val="clear" w:color="auto" w:fill="ffffff"/>
        </w:rPr>
        <w:t xml:space="preserve">。</w:t>
      </w:r>
      <w:r>
        <w:rPr>
          <w:rFonts w:hint="eastAsia" w:ascii="方正魏碑_GBK" w:hAnsi="方正魏碑_GBK" w:eastAsia="方正魏碑_GBK" w:cs="方正魏碑_GBK"/>
          <w:b w:val="0"/>
          <w:bCs/>
          <w:color w:val="auto"/>
          <w:u w:val="single"/>
          <w:shd w:val="clear" w:color="auto" w:fill="ffffff"/>
        </w:rPr>
        <w:t xml:space="preserve"> </w:t>
      </w:r>
      <w:r>
        <w:rPr>
          <w:rStyle w:val="898"/>
          <w:rFonts w:hint="eastAsia" w:ascii="方正魏碑_GBK" w:hAnsi="方正魏碑_GBK" w:eastAsia="方正魏碑_GBK" w:cs="方正魏碑_GBK"/>
          <w:b w:val="0"/>
          <w:bCs/>
          <w:i w:val="0"/>
          <w:color w:val="auto"/>
          <w:u w:val="single"/>
          <w:shd w:val="clear" w:color="auto" w:fill="ffffff"/>
        </w:rPr>
        <w:t xml:space="preserve">（产品名称1） </w:t>
      </w:r>
      <w:r>
        <w:rPr>
          <w:rFonts w:hint="eastAsia" w:ascii="方正魏碑_GBK" w:hAnsi="方正魏碑_GBK" w:eastAsia="方正魏碑_GBK" w:cs="方正魏碑_GBK"/>
          <w:b w:val="0"/>
          <w:bCs/>
          <w:color w:val="auto"/>
          <w:shd w:val="clear" w:color="auto" w:fill="ffffff"/>
        </w:rPr>
        <w:t xml:space="preserve">的中国境内生产的组件成本占比≥</w:t>
      </w:r>
      <w:r>
        <w:rPr>
          <w:rStyle w:val="898"/>
          <w:rFonts w:hint="eastAsia" w:ascii="方正魏碑_GBK" w:hAnsi="方正魏碑_GBK" w:eastAsia="方正魏碑_GBK" w:cs="方正魏碑_GBK"/>
          <w:b w:val="0"/>
          <w:bCs/>
          <w:i w:val="0"/>
          <w:color w:val="auto"/>
          <w:u w:val="single"/>
          <w:shd w:val="clear" w:color="auto" w:fill="ffffff"/>
        </w:rPr>
        <w:t xml:space="preserve">（规定</w:t>
      </w:r>
      <w:r>
        <w:rPr>
          <w:rStyle w:val="898"/>
          <w:rFonts w:ascii="方正魏碑_GBK" w:hAnsi="方正魏碑_GBK" w:eastAsia="方正魏碑_GBK" w:cs="方正魏碑_GBK"/>
          <w:b w:val="0"/>
          <w:bCs/>
          <w:i w:val="0"/>
          <w:color w:val="auto"/>
          <w:u w:val="single"/>
          <w:shd w:val="clear" w:color="auto" w:fill="ffffff"/>
        </w:rPr>
        <w:t xml:space="preserve">比例</w:t>
      </w:r>
      <w:r>
        <w:rPr>
          <w:rStyle w:val="898"/>
          <w:rFonts w:hint="eastAsia" w:ascii="方正魏碑_GBK" w:hAnsi="方正魏碑_GBK" w:eastAsia="方正魏碑_GBK" w:cs="方正魏碑_GBK"/>
          <w:b w:val="0"/>
          <w:bCs/>
          <w:i w:val="0"/>
          <w:color w:val="auto"/>
          <w:u w:val="single"/>
          <w:shd w:val="clear" w:color="auto" w:fill="ffffff"/>
        </w:rPr>
        <w:t xml:space="preserve">）</w:t>
      </w:r>
      <w:r>
        <w:rPr>
          <w:rStyle w:val="898"/>
          <w:rFonts w:hint="eastAsia" w:ascii="方正魏碑_GBK" w:hAnsi="方正魏碑_GBK" w:eastAsia="方正魏碑_GBK" w:cs="方正魏碑_GBK"/>
          <w:b w:val="0"/>
          <w:bCs/>
          <w:i w:val="0"/>
          <w:color w:val="auto"/>
          <w:shd w:val="clear" w:color="auto" w:fill="ffffff"/>
          <w:vertAlign w:val="superscript"/>
        </w:rPr>
        <w:t xml:space="preserve">3</w:t>
      </w:r>
      <w:r>
        <w:rPr>
          <w:rFonts w:hint="eastAsia" w:ascii="方正魏碑_GBK" w:hAnsi="方正魏碑_GBK" w:eastAsia="方正魏碑_GBK" w:cs="方正魏碑_GBK"/>
          <w:b w:val="0"/>
          <w:bCs/>
          <w:color w:val="auto"/>
          <w:shd w:val="clear" w:color="auto" w:fill="ffffff"/>
        </w:rPr>
        <w:t xml:space="preserve">。</w:t>
      </w:r>
      <w:r>
        <w:rPr>
          <w:rStyle w:val="898"/>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898"/>
          <w:rFonts w:hint="eastAsia" w:ascii="方正魏碑_GBK" w:hAnsi="方正魏碑_GBK" w:eastAsia="方正魏碑_GBK" w:cs="方正魏碑_GBK"/>
          <w:b w:val="0"/>
          <w:bCs/>
          <w:i w:val="0"/>
          <w:color w:val="auto"/>
          <w:u w:val="single"/>
          <w:shd w:val="clear" w:color="auto" w:fill="ffffff"/>
        </w:rPr>
        <w:t xml:space="preserve">（关键</w:t>
      </w:r>
      <w:r>
        <w:rPr>
          <w:rStyle w:val="898"/>
          <w:rFonts w:ascii="方正魏碑_GBK" w:hAnsi="方正魏碑_GBK" w:eastAsia="方正魏碑_GBK" w:cs="方正魏碑_GBK"/>
          <w:b w:val="0"/>
          <w:bCs/>
          <w:i w:val="0"/>
          <w:color w:val="auto"/>
          <w:u w:val="single"/>
          <w:shd w:val="clear" w:color="auto" w:fill="ffffff"/>
        </w:rPr>
        <w:t xml:space="preserve">组件</w:t>
      </w:r>
      <w:r>
        <w:rPr>
          <w:rStyle w:val="898"/>
          <w:rFonts w:hint="eastAsia" w:ascii="方正魏碑_GBK" w:hAnsi="方正魏碑_GBK" w:eastAsia="方正魏碑_GBK" w:cs="方正魏碑_GBK"/>
          <w:b w:val="0"/>
          <w:bCs/>
          <w:i w:val="0"/>
          <w:color w:val="auto"/>
          <w:u w:val="single"/>
          <w:shd w:val="clear" w:color="auto" w:fill="ffffff"/>
        </w:rPr>
        <w:t xml:space="preserve">）</w:t>
      </w:r>
      <w:r>
        <w:rPr>
          <w:rStyle w:val="898"/>
          <w:rFonts w:hint="eastAsia" w:ascii="方正魏碑_GBK" w:hAnsi="方正魏碑_GBK" w:eastAsia="方正魏碑_GBK" w:cs="方正魏碑_GBK"/>
          <w:b w:val="0"/>
          <w:bCs/>
          <w:i w:val="0"/>
          <w:color w:val="auto"/>
          <w:shd w:val="clear" w:color="auto" w:fill="ffffff"/>
          <w:vertAlign w:val="superscript"/>
        </w:rPr>
        <w:t xml:space="preserve">4</w:t>
      </w:r>
      <w:r>
        <w:rPr>
          <w:rFonts w:hint="eastAsia" w:ascii="方正魏碑_GBK" w:hAnsi="方正魏碑_GBK" w:eastAsia="方正魏碑_GBK" w:cs="方正魏碑_GBK"/>
          <w:b w:val="0"/>
          <w:bCs/>
          <w:color w:val="auto"/>
          <w:shd w:val="clear" w:color="auto" w:fill="ffffff"/>
        </w:rPr>
        <w:t xml:space="preserve">在中国境内生产。</w:t>
      </w:r>
      <w:r>
        <w:rPr>
          <w:rStyle w:val="898"/>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898"/>
          <w:rFonts w:hint="eastAsia" w:ascii="方正魏碑_GBK" w:hAnsi="方正魏碑_GBK" w:eastAsia="方正魏碑_GBK" w:cs="方正魏碑_GBK"/>
          <w:b w:val="0"/>
          <w:bCs/>
          <w:i w:val="0"/>
          <w:color w:val="auto"/>
          <w:u w:val="single"/>
          <w:shd w:val="clear" w:color="auto" w:fill="ffffff"/>
        </w:rPr>
        <w:t xml:space="preserve">（关键工序）</w:t>
      </w:r>
      <w:r>
        <w:rPr>
          <w:rStyle w:val="898"/>
          <w:rFonts w:hint="eastAsia" w:ascii="方正魏碑_GBK" w:hAnsi="方正魏碑_GBK" w:eastAsia="方正魏碑_GBK" w:cs="方正魏碑_GBK"/>
          <w:b w:val="0"/>
          <w:bCs/>
          <w:i w:val="0"/>
          <w:color w:val="auto"/>
          <w:shd w:val="clear" w:color="auto" w:fill="ffffff"/>
          <w:vertAlign w:val="superscript"/>
        </w:rPr>
        <w:t xml:space="preserve">5</w:t>
      </w:r>
      <w:r>
        <w:rPr>
          <w:rFonts w:hint="eastAsia" w:ascii="方正魏碑_GBK" w:hAnsi="方正魏碑_GBK" w:eastAsia="方正魏碑_GBK" w:cs="方正魏碑_GBK"/>
          <w:b w:val="0"/>
          <w:bCs/>
          <w:color w:val="auto"/>
          <w:shd w:val="clear" w:color="auto" w:fill="ffffff"/>
        </w:rPr>
        <w:t xml:space="preserve">在中国境内完成。</w:t>
      </w:r>
      <w:r/>
    </w:p>
    <w:p>
      <w:pPr>
        <w:pStyle w:val="89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shd w:val="clear" w:color="auto" w:fill="ffffff"/>
        </w:rPr>
        <w:t xml:space="preserve">2.</w:t>
      </w:r>
      <w:r>
        <w:rPr>
          <w:rStyle w:val="898"/>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，生产厂为</w:t>
      </w:r>
      <w:r>
        <w:rPr>
          <w:rStyle w:val="898"/>
          <w:rFonts w:hint="eastAsia" w:ascii="方正魏碑_GBK" w:hAnsi="方正魏碑_GBK" w:eastAsia="方正魏碑_GBK" w:cs="方正魏碑_GBK"/>
          <w:b w:val="0"/>
          <w:bCs/>
          <w:i w:val="0"/>
          <w:color w:val="auto"/>
          <w:u w:val="single"/>
          <w:shd w:val="clear" w:color="auto" w:fill="ffffff"/>
        </w:rPr>
        <w:t xml:space="preserve">（厂名）</w:t>
      </w:r>
      <w:r>
        <w:rPr>
          <w:rFonts w:hint="eastAsia" w:ascii="方正魏碑_GBK" w:hAnsi="方正魏碑_GBK" w:eastAsia="方正魏碑_GBK" w:cs="方正魏碑_GBK"/>
          <w:b w:val="0"/>
          <w:bCs/>
          <w:color w:val="auto"/>
          <w:shd w:val="clear" w:color="auto" w:fill="ffffff"/>
        </w:rPr>
        <w:t xml:space="preserve">，厂址为</w:t>
      </w:r>
      <w:r>
        <w:rPr>
          <w:rStyle w:val="898"/>
          <w:rFonts w:hint="eastAsia" w:ascii="方正魏碑_GBK" w:hAnsi="方正魏碑_GBK" w:eastAsia="方正魏碑_GBK" w:cs="方正魏碑_GBK"/>
          <w:b w:val="0"/>
          <w:bCs/>
          <w:i w:val="0"/>
          <w:color w:val="auto"/>
          <w:u w:val="single"/>
          <w:shd w:val="clear" w:color="auto" w:fill="ffffff"/>
        </w:rPr>
        <w:t xml:space="preserve">（生产厂址）</w:t>
      </w:r>
      <w:r>
        <w:rPr>
          <w:rFonts w:hint="eastAsia" w:ascii="方正魏碑_GBK" w:hAnsi="方正魏碑_GBK" w:eastAsia="方正魏碑_GBK" w:cs="方正魏碑_GBK"/>
          <w:b w:val="0"/>
          <w:bCs/>
          <w:color w:val="auto"/>
          <w:shd w:val="clear" w:color="auto" w:fill="ffffff"/>
        </w:rPr>
        <w:t xml:space="preserve">。</w:t>
      </w:r>
      <w:r>
        <w:rPr>
          <w:rStyle w:val="898"/>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的中国境内生产的组件成本占比≥</w:t>
      </w:r>
      <w:r>
        <w:rPr>
          <w:rStyle w:val="898"/>
          <w:rFonts w:hint="eastAsia" w:ascii="方正魏碑_GBK" w:hAnsi="方正魏碑_GBK" w:eastAsia="方正魏碑_GBK" w:cs="方正魏碑_GBK"/>
          <w:b w:val="0"/>
          <w:bCs/>
          <w:i w:val="0"/>
          <w:color w:val="auto"/>
          <w:u w:val="single"/>
          <w:shd w:val="clear" w:color="auto" w:fill="ffffff"/>
        </w:rPr>
        <w:t xml:space="preserve">（规定</w:t>
      </w:r>
      <w:r>
        <w:rPr>
          <w:rStyle w:val="898"/>
          <w:rFonts w:ascii="方正魏碑_GBK" w:hAnsi="方正魏碑_GBK" w:eastAsia="方正魏碑_GBK" w:cs="方正魏碑_GBK"/>
          <w:b w:val="0"/>
          <w:bCs/>
          <w:i w:val="0"/>
          <w:color w:val="auto"/>
          <w:u w:val="single"/>
          <w:shd w:val="clear" w:color="auto" w:fill="ffffff"/>
        </w:rPr>
        <w:t xml:space="preserve">比例</w:t>
      </w:r>
      <w:r>
        <w:rPr>
          <w:rStyle w:val="898"/>
          <w:rFonts w:hint="eastAsia" w:ascii="方正魏碑_GBK" w:hAnsi="方正魏碑_GBK" w:eastAsia="方正魏碑_GBK" w:cs="方正魏碑_GBK"/>
          <w:b w:val="0"/>
          <w:bCs/>
          <w:i w:val="0"/>
          <w:color w:val="auto"/>
          <w:u w:val="single"/>
          <w:shd w:val="clear" w:color="auto" w:fill="ffffff"/>
        </w:rPr>
        <w:t xml:space="preserve">）</w:t>
      </w:r>
      <w:r>
        <w:rPr>
          <w:rFonts w:hint="eastAsia" w:ascii="方正魏碑_GBK" w:hAnsi="方正魏碑_GBK" w:eastAsia="方正魏碑_GBK" w:cs="方正魏碑_GBK"/>
          <w:b w:val="0"/>
          <w:bCs/>
          <w:color w:val="auto"/>
          <w:shd w:val="clear" w:color="auto" w:fill="ffffff"/>
        </w:rPr>
        <w:t xml:space="preserve">。</w:t>
      </w:r>
      <w:r>
        <w:rPr>
          <w:rStyle w:val="898"/>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的</w:t>
      </w:r>
      <w:r>
        <w:rPr>
          <w:rStyle w:val="898"/>
          <w:rFonts w:hint="eastAsia" w:ascii="方正魏碑_GBK" w:hAnsi="方正魏碑_GBK" w:eastAsia="方正魏碑_GBK" w:cs="方正魏碑_GBK"/>
          <w:b w:val="0"/>
          <w:bCs/>
          <w:i w:val="0"/>
          <w:color w:val="auto"/>
          <w:u w:val="single"/>
          <w:shd w:val="clear" w:color="auto" w:fill="ffffff"/>
        </w:rPr>
        <w:t xml:space="preserve">（关键</w:t>
      </w:r>
      <w:r>
        <w:rPr>
          <w:rStyle w:val="898"/>
          <w:rFonts w:ascii="方正魏碑_GBK" w:hAnsi="方正魏碑_GBK" w:eastAsia="方正魏碑_GBK" w:cs="方正魏碑_GBK"/>
          <w:b w:val="0"/>
          <w:bCs/>
          <w:i w:val="0"/>
          <w:color w:val="auto"/>
          <w:u w:val="single"/>
          <w:shd w:val="clear" w:color="auto" w:fill="ffffff"/>
        </w:rPr>
        <w:t xml:space="preserve">组件</w:t>
      </w:r>
      <w:r>
        <w:rPr>
          <w:rStyle w:val="898"/>
          <w:rFonts w:hint="eastAsia" w:ascii="方正魏碑_GBK" w:hAnsi="方正魏碑_GBK" w:eastAsia="方正魏碑_GBK" w:cs="方正魏碑_GBK"/>
          <w:b w:val="0"/>
          <w:bCs/>
          <w:i w:val="0"/>
          <w:color w:val="auto"/>
          <w:u w:val="single"/>
          <w:shd w:val="clear" w:color="auto" w:fill="ffffff"/>
        </w:rPr>
        <w:t xml:space="preserve">）</w:t>
      </w:r>
      <w:r>
        <w:rPr>
          <w:rFonts w:hint="eastAsia" w:ascii="方正魏碑_GBK" w:hAnsi="方正魏碑_GBK" w:eastAsia="方正魏碑_GBK" w:cs="方正魏碑_GBK"/>
          <w:b w:val="0"/>
          <w:bCs/>
          <w:color w:val="auto"/>
          <w:shd w:val="clear" w:color="auto" w:fill="ffffff"/>
        </w:rPr>
        <w:t xml:space="preserve">在中国境内生产。</w:t>
      </w:r>
      <w:r>
        <w:rPr>
          <w:rStyle w:val="898"/>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898"/>
          <w:rFonts w:hint="eastAsia" w:ascii="方正魏碑_GBK" w:hAnsi="方正魏碑_GBK" w:eastAsia="方正魏碑_GBK" w:cs="方正魏碑_GBK"/>
          <w:b w:val="0"/>
          <w:bCs/>
          <w:i w:val="0"/>
          <w:color w:val="auto"/>
          <w:u w:val="single"/>
          <w:shd w:val="clear" w:color="auto" w:fill="ffffff"/>
        </w:rPr>
        <w:t xml:space="preserve">（关键工序）</w:t>
      </w:r>
      <w:r>
        <w:rPr>
          <w:rFonts w:hint="eastAsia" w:ascii="方正魏碑_GBK" w:hAnsi="方正魏碑_GBK" w:eastAsia="方正魏碑_GBK" w:cs="方正魏碑_GBK"/>
          <w:b w:val="0"/>
          <w:bCs/>
          <w:color w:val="auto"/>
          <w:shd w:val="clear" w:color="auto" w:fill="ffffff"/>
        </w:rPr>
        <w:t xml:space="preserve">在中国境内完成。</w:t>
      </w:r>
      <w:r/>
    </w:p>
    <w:p>
      <w:pPr>
        <w:pStyle w:val="89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w:t>
      </w:r>
      <w:r/>
    </w:p>
    <w:p>
      <w:pPr>
        <w:pStyle w:val="89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本公司（单位）对上述声明内容的真实性负责。如有虚假，愿承担相应法律责任。</w:t>
      </w:r>
      <w:r/>
    </w:p>
    <w:p>
      <w:pPr>
        <w:pStyle w:val="894"/>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w:r>
      <w:r/>
    </w:p>
    <w:p>
      <w:pPr>
        <w:pStyle w:val="894"/>
        <w:ind w:firstLine="420"/>
        <w:jc w:val="right"/>
        <w:spacing w:before="30" w:beforeAutospacing="0" w:after="30" w:afterAutospacing="0" w:line="0" w:lineRule="atLeast"/>
        <w:rPr>
          <w:rFonts w:hint="eastAsia" w:ascii="方正魏碑_GBK" w:hAnsi="方正魏碑_GBK" w:eastAsia="方正魏碑_GBK" w:cs="方正魏碑_GBK"/>
          <w:b w:val="0"/>
          <w:bCs/>
          <w:color w:val="auto"/>
          <w:shd w:val="clear" w:color="auto" w:fill="ffffff"/>
        </w:rPr>
      </w:pPr>
      <w:r>
        <w:rPr>
          <w:rFonts w:hint="eastAsia" w:ascii="方正魏碑_GBK" w:hAnsi="方正魏碑_GBK" w:eastAsia="方正魏碑_GBK" w:cs="方正魏碑_GBK"/>
          <w:b w:val="0"/>
          <w:bCs/>
          <w:color w:val="auto"/>
          <w:shd w:val="clear" w:color="auto" w:fill="ffffff"/>
        </w:rPr>
        <w:t xml:space="preserve">供应商名称（加盖CA电子公章）：</w:t>
      </w:r>
      <w:r/>
    </w:p>
    <w:p>
      <w:pPr>
        <w:pStyle w:val="894"/>
        <w:ind w:firstLine="420"/>
        <w:jc w:val="right"/>
        <w:spacing w:before="30" w:beforeAutospacing="0" w:after="30" w:afterAutospacing="0" w:line="0" w:lineRule="atLeast"/>
        <w:rPr>
          <w:rFonts w:hint="eastAsia" w:ascii="方正魏碑_GBK" w:hAnsi="方正魏碑_GBK" w:eastAsia="方正魏碑_GBK" w:cs="方正魏碑_GBK"/>
          <w:b w:val="0"/>
          <w:bCs/>
          <w:color w:val="auto"/>
          <w:shd w:val="clear" w:color="auto" w:fill="ffffff"/>
        </w:rPr>
      </w:pPr>
      <w:r>
        <w:rPr>
          <w:rFonts w:hint="eastAsia" w:ascii="方正魏碑_GBK" w:hAnsi="方正魏碑_GBK" w:eastAsia="方正魏碑_GBK" w:cs="方正魏碑_GBK"/>
          <w:b w:val="0"/>
          <w:bCs/>
          <w:color w:val="auto"/>
          <w:shd w:val="clear" w:color="auto" w:fill="ffffff"/>
        </w:rPr>
        <w:t xml:space="preserve">日 期： 年 月 日</w:t>
      </w:r>
      <w:r/>
    </w:p>
    <w:p>
      <w:pPr>
        <w:pStyle w:val="894"/>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__________________</w:t>
      </w:r>
      <w:r/>
    </w:p>
    <w:p>
      <w:pPr>
        <w:pStyle w:val="89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1.产品如有型号，请在“产品名称”栏一并填写。</w:t>
      </w:r>
      <w:r/>
    </w:p>
    <w:p>
      <w:pPr>
        <w:pStyle w:val="89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2.生产厂名与厂址应与生产厂营业执照载明的相关信息保持一致。</w:t>
      </w:r>
      <w:r/>
    </w:p>
    <w:p>
      <w:pPr>
        <w:pStyle w:val="89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3.该产品的中国境内生产的组件成本占比相关要求实施前，“规定比例”栏可不填，下同。</w:t>
      </w:r>
      <w:r/>
    </w:p>
    <w:p>
      <w:pPr>
        <w:pStyle w:val="89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4.该产品的关键组件要求实施前，“关键组件”栏可不填，下同。</w:t>
      </w:r>
      <w:r/>
    </w:p>
    <w:p>
      <w:pPr>
        <w:pStyle w:val="894"/>
        <w:spacing w:before="30" w:beforeAutospacing="0" w:after="30" w:afterAutospacing="0" w:line="0" w:lineRule="atLeast"/>
        <w:rPr>
          <w:rFonts w:ascii="方正魏碑_GBK" w:hAnsi="方正魏碑_GBK" w:eastAsia="方正魏碑_GBK" w:cs="方正魏碑_GBK"/>
          <w:b w:val="0"/>
          <w:bCs/>
          <w:color w:val="auto"/>
          <w:sz w:val="22"/>
          <w:shd w:val="clear" w:color="auto" w:fill="ffffff"/>
        </w:rPr>
      </w:pPr>
      <w:r>
        <w:rPr>
          <w:rFonts w:hint="eastAsia" w:ascii="方正魏碑_GBK" w:hAnsi="方正魏碑_GBK" w:eastAsia="方正魏碑_GBK" w:cs="方正魏碑_GBK"/>
          <w:b w:val="0"/>
          <w:bCs/>
          <w:color w:val="auto"/>
          <w:sz w:val="22"/>
          <w:shd w:val="clear" w:color="auto" w:fill="ffffff"/>
        </w:rPr>
        <w:t xml:space="preserve">5.该产品的关键工序要求实施前，“关键工序”栏可不填，下同。</w:t>
      </w:r>
      <w:r/>
    </w:p>
    <w:p>
      <w:pPr>
        <w:pStyle w:val="894"/>
        <w:spacing w:before="30" w:beforeAutospacing="0" w:after="30" w:afterAutospacing="0" w:line="0" w:lineRule="atLeast"/>
        <w:rPr>
          <w:rFonts w:ascii="方正魏碑_GBK" w:hAnsi="方正魏碑_GBK" w:eastAsia="方正魏碑_GBK" w:cs="方正魏碑_GBK"/>
          <w:b w:val="0"/>
          <w:bCs/>
          <w:color w:val="auto"/>
          <w:sz w:val="22"/>
          <w:shd w:val="clear" w:color="auto" w:fill="ffffff"/>
        </w:rPr>
      </w:pPr>
      <w:r>
        <w:rPr>
          <w:rFonts w:hint="eastAsia" w:ascii="方正魏碑_GBK" w:hAnsi="方正魏碑_GBK" w:eastAsia="方正魏碑_GBK" w:cs="方正魏碑_GBK"/>
          <w:b w:val="0"/>
          <w:bCs/>
          <w:color w:val="auto"/>
          <w:sz w:val="22"/>
          <w:shd w:val="clear" w:color="auto" w:fill="ffffff"/>
        </w:rPr>
        <w:t xml:space="preserve">6.用斜线划除的地方无需填写。</w:t>
      </w:r>
      <w:r/>
    </w:p>
    <w:p>
      <w:pPr>
        <w:jc w:val="left"/>
        <w:pageBreakBefore w:val="0"/>
        <w:spacing w:line="360" w:lineRule="auto"/>
        <w:rPr>
          <w:rFonts w:hint="eastAsia" w:ascii="宋体" w:hAnsi="宋体" w:eastAsia="宋体" w:cs="宋体"/>
          <w:sz w:val="32"/>
          <w:szCs w:val="32"/>
          <w:highlight w:val="none"/>
        </w:rPr>
      </w:pPr>
      <w:r>
        <w:rPr>
          <w:rFonts w:hint="eastAsia" w:ascii="宋体" w:hAnsi="宋体"/>
          <w:sz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、联合体协议（参考格式）</w:t>
      </w:r>
      <w:r/>
    </w:p>
    <w:p>
      <w:pPr>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p>
    <w:p>
      <w:pPr>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p>
    <w:p>
      <w:pPr>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p>
    <w:p>
      <w:pPr>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p>
    <w:p>
      <w:pPr>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p>
    <w:p>
      <w:pPr>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p>
    <w:p>
      <w:pPr>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p>
    <w:p>
      <w:pPr>
        <w:jc w:val="left"/>
        <w:spacing w:line="360" w:lineRule="auto"/>
        <w:rPr>
          <w:rFonts w:hint="eastAsia" w:ascii="宋体" w:hAnsi="宋体"/>
          <w:b/>
          <w:bCs/>
          <w:color w:val="auto"/>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p>
    <w:p>
      <w:pPr>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before="161" w:after="161"/>
        <w:widowControl w:val="off"/>
        <w:rPr>
          <w:rFonts w:hint="eastAsia" w:ascii="宋体" w:hAnsi="宋体"/>
          <w:b/>
          <w:sz w:val="32"/>
          <w:szCs w:val="32"/>
          <w:highlight w:val="none"/>
        </w:rPr>
      </w:pPr>
      <w:r>
        <w:rPr>
          <w:rFonts w:hint="eastAsia" w:ascii="宋体" w:hAnsi="宋体" w:eastAsia="宋体" w:cs="宋体"/>
          <w:b/>
          <w:bCs/>
          <w:sz w:val="24"/>
          <w:szCs w:val="24"/>
          <w:highlight w:val="none"/>
        </w:rPr>
        <w:t xml:space="preserve">符合性审查响应对照表（采购包号：**）</w:t>
      </w:r>
      <w:r/>
    </w:p>
    <w:tbl>
      <w:tblPr>
        <w:tblStyle w:val="878"/>
        <w:tblW w:w="8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jc w:val="center"/>
          <w:trHeight w:val="876"/>
        </w:trPr>
        <w:tc>
          <w:tcPr>
            <w:tcW w:w="840"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4993"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p>
        </w:tc>
        <w:tc>
          <w:tcPr>
            <w:tcW w:w="1794"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p>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p>
        </w:tc>
        <w:tc>
          <w:tcPr>
            <w:tcW w:w="1186"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1</w:t>
            </w:r>
            <w:r/>
          </w:p>
        </w:tc>
        <w:tc>
          <w:tcPr>
            <w:tcW w:w="4993" w:type="dxa"/>
            <w:vAlign w:val="center"/>
            <w:textDirection w:val="lrTb"/>
            <w:noWrap w:val="false"/>
          </w:tcPr>
          <w:p>
            <w:pPr>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794" w:type="dxa"/>
            <w:vAlign w:val="center"/>
            <w:textDirection w:val="lrTb"/>
            <w:noWrap w:val="false"/>
          </w:tcPr>
          <w:p>
            <w:pPr>
              <w:rPr>
                <w:rFonts w:ascii="宋体" w:hAnsi="宋体"/>
                <w:b/>
                <w:szCs w:val="21"/>
                <w:highlight w:val="none"/>
              </w:rPr>
            </w:pPr>
            <w:r>
              <w:rPr>
                <w:rFonts w:ascii="宋体" w:hAnsi="宋体"/>
                <w:b/>
                <w:szCs w:val="21"/>
                <w:highlight w:val="none"/>
              </w:rPr>
            </w:r>
            <w:r/>
          </w:p>
        </w:tc>
        <w:tc>
          <w:tcPr>
            <w:tcW w:w="1186"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2</w:t>
            </w:r>
            <w:r/>
          </w:p>
        </w:tc>
        <w:tc>
          <w:tcPr>
            <w:tcW w:w="4993"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3</w:t>
            </w:r>
            <w:r/>
          </w:p>
        </w:tc>
        <w:tc>
          <w:tcPr>
            <w:tcW w:w="4993" w:type="dxa"/>
            <w:vAlign w:val="center"/>
            <w:textDirection w:val="lrTb"/>
            <w:noWrap w:val="false"/>
          </w:tcPr>
          <w:p>
            <w:pPr>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4</w:t>
            </w:r>
            <w:r/>
          </w:p>
        </w:tc>
        <w:tc>
          <w:tcPr>
            <w:tcW w:w="4993" w:type="dxa"/>
            <w:vAlign w:val="center"/>
            <w:textDirection w:val="lrTb"/>
            <w:noWrap w:val="false"/>
          </w:tcPr>
          <w:p>
            <w:pPr>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5</w:t>
            </w:r>
            <w:r/>
          </w:p>
        </w:tc>
        <w:tc>
          <w:tcPr>
            <w:tcW w:w="4993"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t xml:space="preserve">……</w:t>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bl>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1.投标人必须对采购需求中的实质性要求（</w:t>
      </w:r>
      <w:r>
        <w:rPr>
          <w:rFonts w:hint="eastAsia" w:ascii="宋体" w:hAnsi="宋体" w:eastAsia="宋体" w:cs="Times New Roman"/>
          <w:i/>
          <w:iCs/>
          <w:strike w:val="0"/>
          <w:color w:val="auto"/>
          <w:sz w:val="21"/>
          <w:szCs w:val="21"/>
          <w:highlight w:val="none"/>
          <w:u w:val="single"/>
        </w:rPr>
        <w:t xml:space="preserve">斜体且有下划线部分</w:t>
      </w:r>
      <w:r>
        <w:rPr>
          <w:rFonts w:hint="eastAsia" w:ascii="宋体" w:hAnsi="宋体" w:eastAsia="宋体" w:cs="Times New Roman"/>
          <w:color w:val="auto"/>
          <w:sz w:val="21"/>
          <w:szCs w:val="21"/>
          <w:highlight w:val="none"/>
        </w:rPr>
        <w:t xml:space="preserve">）逐条做出明确响应。</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2.如果招标文件要求提供证明材料，投标人必须将证明材料列于该表之下。</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auto"/>
          <w:sz w:val="21"/>
          <w:szCs w:val="21"/>
          <w:highlight w:val="none"/>
          <w:lang w:val="en-US" w:eastAsia="zh-CN"/>
        </w:rPr>
        <w:t xml:space="preserve">项目</w:t>
      </w:r>
      <w:r>
        <w:rPr>
          <w:rFonts w:hint="eastAsia" w:ascii="宋体" w:hAnsi="宋体" w:eastAsia="宋体" w:cs="Times New Roman"/>
          <w:color w:val="auto"/>
          <w:sz w:val="21"/>
          <w:szCs w:val="21"/>
          <w:highlight w:val="none"/>
        </w:rPr>
        <w:t xml:space="preserve">作无效投标处理。</w:t>
      </w:r>
      <w:r/>
    </w:p>
    <w:p>
      <w:pPr>
        <w:jc w:val="left"/>
        <w:keepLines w:val="0"/>
        <w:keepNext w:val="0"/>
        <w:pageBreakBefore w:val="0"/>
        <w:spacing w:line="360" w:lineRule="auto"/>
        <w:widowControl w:val="off"/>
        <w:rPr>
          <w:rFonts w:hint="eastAsia" w:ascii="宋体" w:hAnsi="宋体"/>
          <w:bCs/>
          <w:color w:val="auto"/>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、投标分项报价表</w:t>
      </w:r>
      <w:r/>
    </w:p>
    <w:p>
      <w:pPr>
        <w:jc w:val="center"/>
        <w:pageBreakBefore w:val="0"/>
        <w:spacing w:line="360" w:lineRule="auto"/>
        <w:rPr>
          <w:rFonts w:hint="eastAsia" w:ascii="黑体" w:hAnsi="黑体" w:eastAsia="黑体"/>
          <w:b/>
          <w:sz w:val="32"/>
          <w:szCs w:val="32"/>
          <w:highlight w:val="none"/>
        </w:rPr>
      </w:pPr>
      <w:r>
        <w:rPr>
          <w:rFonts w:hint="eastAsia" w:ascii="宋体" w:hAnsi="宋体" w:eastAsia="宋体" w:cs="宋体"/>
          <w:b/>
          <w:sz w:val="28"/>
          <w:szCs w:val="28"/>
          <w:highlight w:val="none"/>
        </w:rPr>
        <w:t xml:space="preserve">投标分项报价表（采购包号：***）</w:t>
      </w:r>
      <w:r/>
    </w:p>
    <w:tbl>
      <w:tblPr>
        <w:tblStyle w:val="878"/>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vAlign w:val="top"/>
            <w:textDirection w:val="lrTb"/>
            <w:noWrap w:val="false"/>
          </w:tcPr>
          <w:p>
            <w:pPr>
              <w:pStyle w:val="894"/>
              <w:spacing w:before="0" w:beforeAutospacing="0" w:after="0" w:afterAutospacing="0" w:line="0" w:lineRule="atLeast"/>
              <w:rPr>
                <w:rFonts w:hint="eastAsia"/>
              </w:rPr>
            </w:pPr>
            <w:r>
              <w:rPr>
                <w:rFonts w:hint="eastAsia" w:ascii="宋体" w:hAnsi="宋体" w:eastAsia="宋体" w:cs="宋体"/>
                <w:color w:val="auto"/>
                <w:sz w:val="24"/>
                <w:szCs w:val="24"/>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tc>
      </w:tr>
    </w:tbl>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备</w:t>
      </w:r>
      <w:r>
        <w:rPr>
          <w:rFonts w:hint="eastAsia" w:ascii="宋体" w:hAnsi="宋体" w:eastAsia="宋体" w:cs="Times New Roman"/>
          <w:color w:val="auto"/>
          <w:sz w:val="21"/>
          <w:szCs w:val="21"/>
          <w:highlight w:val="none"/>
        </w:rPr>
        <w:t xml:space="preserve">注：</w:t>
      </w:r>
      <w:r/>
    </w:p>
    <w:p>
      <w:pPr>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2.“投标分项报价表”中“投标总报价”数额应当与“开标一览表”中“投标总报价”数额一致。</w:t>
      </w:r>
      <w:r/>
    </w:p>
    <w:p>
      <w:pPr>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4.投标人需认真填写本报价表，尤其注意规格型号的准确填写。</w:t>
      </w:r>
      <w:r/>
    </w:p>
    <w:p>
      <w:pPr>
        <w:ind w:firstLine="420"/>
        <w:spacing w:line="360" w:lineRule="auto"/>
        <w:rPr>
          <w:rFonts w:hint="eastAsia"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5.项目经办人可以根据项目实际需要对表格结构进行调整。</w:t>
      </w:r>
      <w:r/>
    </w:p>
    <w:p>
      <w:pPr>
        <w:jc w:val="left"/>
        <w:keepLines w:val="0"/>
        <w:keepNext w:val="0"/>
        <w:pageBreakBefore w:val="0"/>
        <w:spacing w:line="360" w:lineRule="auto"/>
        <w:widowControl w:val="off"/>
        <w:rPr>
          <w:rFonts w:ascii="宋体" w:hAnsi="宋体" w:cs="宋体"/>
          <w:sz w:val="32"/>
          <w:szCs w:val="32"/>
          <w:highlight w:val="none"/>
        </w:rPr>
      </w:pPr>
      <w:r/>
      <w:bookmarkStart w:id="80" w:name="_Toc18185"/>
      <w:r>
        <w:rPr>
          <w:rFonts w:hint="eastAsia" w:ascii="宋体" w:hAnsi="宋体"/>
          <w:color w:val="auto"/>
          <w:highlight w:val="none"/>
        </w:rPr>
        <w:br w:type="page" w:clear="all"/>
      </w:r>
      <w:bookmarkEnd w:id="80"/>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、技术要求响应及偏离表</w:t>
      </w:r>
      <w:r/>
    </w:p>
    <w:p>
      <w:pPr>
        <w:pStyle w:val="874"/>
        <w:jc w:val="center"/>
        <w:rPr>
          <w:rFonts w:hint="eastAsia" w:ascii="宋体" w:hAnsi="宋体"/>
          <w:color w:val="auto"/>
          <w:sz w:val="28"/>
          <w:szCs w:val="28"/>
          <w:highlight w:val="none"/>
        </w:rPr>
      </w:pPr>
      <w:r/>
      <w:bookmarkStart w:id="81" w:name="_Toc12761"/>
      <w:r>
        <w:rPr>
          <w:rFonts w:hint="eastAsia" w:ascii="宋体" w:hAnsi="宋体"/>
          <w:color w:val="auto"/>
          <w:sz w:val="28"/>
          <w:szCs w:val="28"/>
          <w:highlight w:val="none"/>
        </w:rPr>
        <w:t xml:space="preserve">技术要求响应及偏离表</w:t>
      </w:r>
      <w:bookmarkEnd w:id="81"/>
      <w:r>
        <w:rPr>
          <w:rFonts w:hint="eastAsia" w:ascii="宋体" w:hAnsi="宋体"/>
          <w:color w:val="auto"/>
          <w:sz w:val="28"/>
          <w:szCs w:val="28"/>
          <w:highlight w:val="none"/>
        </w:rPr>
        <w:t xml:space="preserve">（采购包号：***）</w:t>
      </w:r>
      <w:r/>
    </w:p>
    <w:p>
      <w:pPr>
        <w:rPr>
          <w:highlight w:val="none"/>
        </w:rPr>
      </w:pPr>
      <w:r>
        <w:rPr>
          <w:highlight w:val="none"/>
        </w:rPr>
      </w:r>
      <w:r/>
    </w:p>
    <w:tbl>
      <w:tblPr>
        <w:tblStyle w:val="878"/>
        <w:tblW w:w="8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687"/>
        <w:gridCol w:w="1232"/>
        <w:gridCol w:w="1105"/>
      </w:tblGrid>
      <w:tr>
        <w:trPr>
          <w:cantSplit/>
          <w:trHeight w:val="642"/>
        </w:trPr>
        <w:tc>
          <w:tcPr>
            <w:tcW w:w="927"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2687"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招标文件要求</w:t>
            </w:r>
            <w:r/>
          </w:p>
        </w:tc>
        <w:tc>
          <w:tcPr>
            <w:tcW w:w="2687"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投标响应情况</w:t>
            </w:r>
            <w:r/>
          </w:p>
        </w:tc>
        <w:tc>
          <w:tcPr>
            <w:tcW w:w="1232"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超出、符合或偏离</w:t>
            </w:r>
            <w:r/>
          </w:p>
        </w:tc>
        <w:tc>
          <w:tcPr>
            <w:tcW w:w="1105" w:type="dxa"/>
            <w:vAlign w:val="center"/>
            <w:textDirection w:val="lrTb"/>
            <w:noWrap w:val="false"/>
          </w:tcPr>
          <w:p>
            <w:pPr>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证明</w:t>
            </w:r>
            <w:r/>
          </w:p>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材料</w:t>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5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注：行数不够，可自行添加</w:t>
      </w:r>
      <w:r>
        <w:rPr>
          <w:rFonts w:hint="eastAsia" w:ascii="宋体" w:hAnsi="宋体"/>
          <w:color w:val="auto"/>
          <w:sz w:val="21"/>
          <w:szCs w:val="21"/>
          <w:highlight w:val="none"/>
          <w:lang w:eastAsia="zh-CN"/>
        </w:rPr>
        <w:t xml:space="preserve">；</w:t>
      </w:r>
      <w:r/>
    </w:p>
    <w:p>
      <w:pPr>
        <w:pStyle w:val="875"/>
        <w:rPr>
          <w:highlight w:val="none"/>
        </w:rPr>
      </w:pPr>
      <w:r>
        <w:rPr>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、商务要求响应及偏离表</w:t>
      </w:r>
      <w:r/>
    </w:p>
    <w:p>
      <w:pPr>
        <w:pStyle w:val="874"/>
        <w:jc w:val="center"/>
        <w:rPr>
          <w:rFonts w:hint="eastAsia" w:ascii="宋体" w:hAnsi="宋体"/>
          <w:bCs w:val="0"/>
          <w:color w:val="auto"/>
          <w:sz w:val="28"/>
          <w:szCs w:val="28"/>
          <w:highlight w:val="none"/>
        </w:rPr>
      </w:pPr>
      <w:r/>
      <w:bookmarkStart w:id="82" w:name="_Toc15565"/>
      <w:r/>
      <w:bookmarkStart w:id="83" w:name="_Toc11043"/>
      <w:r/>
      <w:bookmarkStart w:id="84" w:name="_Toc113352363"/>
      <w:r/>
      <w:bookmarkStart w:id="85" w:name="_Toc14047"/>
      <w:r/>
      <w:bookmarkStart w:id="86" w:name="_Toc11513"/>
      <w:r>
        <w:rPr>
          <w:rFonts w:hint="eastAsia" w:ascii="宋体" w:hAnsi="宋体"/>
          <w:bCs w:val="0"/>
          <w:color w:val="auto"/>
          <w:sz w:val="28"/>
          <w:szCs w:val="28"/>
          <w:highlight w:val="none"/>
        </w:rPr>
        <w:t xml:space="preserve">商务</w:t>
      </w:r>
      <w:r>
        <w:rPr>
          <w:rFonts w:hint="eastAsia" w:ascii="宋体" w:hAnsi="宋体"/>
          <w:bCs w:val="0"/>
          <w:color w:val="auto"/>
          <w:sz w:val="28"/>
          <w:szCs w:val="28"/>
          <w:highlight w:val="none"/>
          <w:lang w:val="en-US" w:eastAsia="zh-CN"/>
        </w:rPr>
        <w:t xml:space="preserve">要求</w:t>
      </w:r>
      <w:r>
        <w:rPr>
          <w:rFonts w:hint="eastAsia" w:ascii="宋体" w:hAnsi="宋体"/>
          <w:bCs w:val="0"/>
          <w:color w:val="auto"/>
          <w:sz w:val="28"/>
          <w:szCs w:val="28"/>
          <w:highlight w:val="none"/>
        </w:rPr>
        <w:t xml:space="preserve">响应及偏离表</w:t>
      </w:r>
      <w:bookmarkEnd w:id="82"/>
      <w:r/>
      <w:bookmarkEnd w:id="83"/>
      <w:r/>
      <w:bookmarkEnd w:id="84"/>
      <w:r/>
      <w:bookmarkEnd w:id="85"/>
      <w:r/>
      <w:bookmarkEnd w:id="86"/>
      <w:r>
        <w:rPr>
          <w:rFonts w:hint="eastAsia" w:ascii="宋体" w:hAnsi="宋体"/>
          <w:bCs w:val="0"/>
          <w:color w:val="auto"/>
          <w:sz w:val="28"/>
          <w:szCs w:val="28"/>
          <w:highlight w:val="none"/>
          <w:lang w:val="en-US" w:eastAsia="zh-CN"/>
        </w:rPr>
        <w:t xml:space="preserve">（采购包号：***）</w:t>
      </w:r>
      <w:r/>
    </w:p>
    <w:p>
      <w:pPr>
        <w:rPr>
          <w:highlight w:val="none"/>
        </w:rPr>
      </w:pPr>
      <w:r>
        <w:rPr>
          <w:highlight w:val="none"/>
        </w:rPr>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序号</w:t>
            </w:r>
            <w:r/>
          </w:p>
        </w:tc>
        <w:tc>
          <w:tcPr>
            <w:tcW w:w="3015"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招标文件要求</w:t>
            </w:r>
            <w:r/>
          </w:p>
        </w:tc>
        <w:tc>
          <w:tcPr>
            <w:tcW w:w="2852"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投标响应情况</w:t>
            </w:r>
            <w:r/>
          </w:p>
        </w:tc>
        <w:tc>
          <w:tcPr>
            <w:tcW w:w="1308"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超出、符合或偏离</w:t>
            </w:r>
            <w:r/>
          </w:p>
        </w:tc>
        <w:tc>
          <w:tcPr>
            <w:tcW w:w="1173"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证明</w:t>
            </w:r>
            <w:r/>
          </w:p>
          <w:p>
            <w:pPr>
              <w:jc w:val="center"/>
              <w:rPr>
                <w:rFonts w:ascii="宋体" w:hAnsi="宋体" w:cs="宋体"/>
                <w:sz w:val="21"/>
                <w:szCs w:val="21"/>
                <w:highlight w:val="none"/>
              </w:rPr>
            </w:pPr>
            <w:r>
              <w:rPr>
                <w:rFonts w:hint="eastAsia" w:ascii="宋体" w:hAnsi="宋体" w:cs="宋体"/>
                <w:sz w:val="21"/>
                <w:szCs w:val="21"/>
                <w:highlight w:val="none"/>
              </w:rPr>
              <w:t xml:space="preserve">材料</w:t>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w:t>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bl>
    <w:p>
      <w:pPr>
        <w:pStyle w:val="894"/>
        <w:spacing w:before="300" w:after="452" w:line="360" w:lineRule="auto"/>
        <w:widowControl/>
        <w:rPr>
          <w:rStyle w:val="897"/>
          <w:rFonts w:hint="eastAsia" w:ascii="宋体" w:hAnsi="宋体" w:cs="仿宋"/>
          <w:color w:val="auto"/>
          <w:sz w:val="21"/>
          <w:szCs w:val="21"/>
          <w:highlight w:val="none"/>
        </w:rPr>
      </w:pPr>
      <w:r>
        <w:rPr>
          <w:rFonts w:hint="eastAsia" w:ascii="宋体" w:hAnsi="宋体" w:cs="宋体"/>
          <w:sz w:val="21"/>
          <w:szCs w:val="21"/>
          <w:highlight w:val="none"/>
        </w:rPr>
        <w:t xml:space="preserve">注： 行数不够，可自行添加。</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pStyle w:val="874"/>
        <w:jc w:val="left"/>
        <w:keepLines/>
        <w:keepNext/>
        <w:pageBreakBefore w:val="0"/>
        <w:spacing w:before="0" w:after="0" w:line="360" w:lineRule="auto"/>
        <w:widowControl w:val="off"/>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 </w:t>
      </w:r>
      <w:bookmarkStart w:id="87" w:name="_Toc8938"/>
      <w:r/>
      <w:bookmarkStart w:id="88" w:name="_Toc14628"/>
      <w:r/>
      <w:bookmarkStart w:id="89" w:name="_Toc6924"/>
      <w:r/>
      <w:bookmarkStart w:id="90" w:name="_Toc4311"/>
      <w:r/>
      <w:r/>
    </w:p>
    <w:p>
      <w:pPr>
        <w:jc w:val="left"/>
        <w:keepLines w:val="0"/>
        <w:keepNext w:val="0"/>
        <w:pageBreakBefore w:val="0"/>
        <w:spacing w:line="360" w:lineRule="auto"/>
        <w:widowControl w:val="off"/>
        <w:rPr>
          <w:rFonts w:hint="eastAsia" w:ascii="宋体" w:hAnsi="宋体"/>
          <w:b w:val="0"/>
          <w:bCs w:val="0"/>
          <w:color w:val="auto"/>
          <w:sz w:val="28"/>
          <w:szCs w:val="28"/>
          <w:highlight w:val="none"/>
        </w:rPr>
      </w:pPr>
      <w:r>
        <w:rPr>
          <w:rFonts w:hint="eastAsia" w:ascii="宋体" w:hAnsi="宋体"/>
          <w:b w:val="0"/>
          <w:bCs w:val="0"/>
          <w:color w:val="auto"/>
          <w:szCs w:val="21"/>
          <w:highlight w:val="none"/>
        </w:rPr>
        <w:br w:type="page" w:clear="all"/>
      </w:r>
      <w:r>
        <w:rPr>
          <w:rFonts w:hint="eastAsia" w:ascii="宋体" w:hAnsi="宋体" w:eastAsia="宋体" w:cs="宋体"/>
          <w:b/>
          <w:bCs/>
          <w:i/>
          <w:iCs/>
          <w:sz w:val="24"/>
          <w:szCs w:val="24"/>
          <w:highlight w:val="none"/>
          <w:u w:val="single"/>
        </w:rPr>
        <w:t xml:space="preserve">十</w:t>
      </w:r>
      <w:r>
        <w:rPr>
          <w:rFonts w:hint="eastAsia" w:ascii="宋体" w:hAnsi="宋体" w:eastAsia="宋体" w:cs="宋体"/>
          <w:b/>
          <w:bCs/>
          <w:i/>
          <w:iCs/>
          <w:sz w:val="24"/>
          <w:szCs w:val="24"/>
          <w:highlight w:val="none"/>
          <w:u w:val="single"/>
          <w:lang w:val="en-US" w:eastAsia="zh-CN"/>
        </w:rPr>
        <w:t xml:space="preserve">七</w:t>
      </w:r>
      <w:r>
        <w:rPr>
          <w:rFonts w:hint="eastAsia" w:ascii="宋体" w:hAnsi="宋体" w:eastAsia="宋体" w:cs="宋体"/>
          <w:b/>
          <w:bCs/>
          <w:i/>
          <w:iCs/>
          <w:sz w:val="24"/>
          <w:szCs w:val="24"/>
          <w:highlight w:val="none"/>
          <w:u w:val="single"/>
        </w:rPr>
        <w:t xml:space="preserve">、开标一览表</w:t>
      </w:r>
      <w:bookmarkEnd w:id="87"/>
      <w:r/>
      <w:r/>
    </w:p>
    <w:p>
      <w:pPr>
        <w:pStyle w:val="874"/>
        <w:jc w:val="center"/>
        <w:spacing w:line="360" w:lineRule="auto"/>
        <w:rPr>
          <w:rFonts w:eastAsia="仿宋_GB2312"/>
          <w:color w:val="auto"/>
          <w:sz w:val="28"/>
          <w:szCs w:val="28"/>
          <w:highlight w:val="none"/>
        </w:rPr>
      </w:pPr>
      <w:r/>
      <w:bookmarkStart w:id="91" w:name="_Toc3814"/>
      <w:r>
        <w:rPr>
          <w:rFonts w:hint="eastAsia" w:ascii="宋体" w:hAnsi="宋体"/>
          <w:color w:val="auto"/>
          <w:sz w:val="28"/>
          <w:szCs w:val="28"/>
          <w:highlight w:val="none"/>
        </w:rPr>
        <w:t xml:space="preserve">开标一览表</w:t>
      </w:r>
      <w:bookmarkEnd w:id="88"/>
      <w:r/>
      <w:bookmarkEnd w:id="89"/>
      <w:r/>
      <w:bookmarkEnd w:id="90"/>
      <w:r/>
      <w:bookmarkEnd w:id="91"/>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p>
    <w:p>
      <w:pPr>
        <w:ind w:firstLine="480"/>
        <w:pageBreakBefore w:val="0"/>
        <w:spacing w:line="360" w:lineRule="auto"/>
        <w:rPr>
          <w:sz w:val="24"/>
          <w:szCs w:val="24"/>
          <w:highlight w:val="none"/>
        </w:rPr>
      </w:pPr>
      <w:r>
        <w:rPr>
          <w:rFonts w:hint="eastAsia" w:ascii="宋体" w:hAnsi="宋体"/>
          <w:sz w:val="24"/>
          <w:szCs w:val="24"/>
          <w:highlight w:val="none"/>
        </w:rPr>
        <w:t xml:space="preserve">项目名称：</w:t>
      </w:r>
      <w:r/>
    </w:p>
    <w:p>
      <w:pPr>
        <w:ind w:firstLine="480"/>
        <w:pageBreakBefore w:val="0"/>
        <w:spacing w:line="360" w:lineRule="auto"/>
        <w:rPr>
          <w:rFonts w:ascii="宋体" w:hAnsi="宋体"/>
          <w:sz w:val="24"/>
          <w:szCs w:val="24"/>
          <w:highlight w:val="none"/>
        </w:rPr>
      </w:pPr>
      <w:r>
        <w:rPr>
          <w:rFonts w:hint="eastAsia" w:ascii="宋体" w:hAnsi="宋体"/>
          <w:sz w:val="24"/>
          <w:szCs w:val="24"/>
          <w:highlight w:val="none"/>
        </w:rPr>
        <w:t xml:space="preserve">招标编号：                                   分包号：</w:t>
      </w:r>
      <w:r/>
    </w:p>
    <w:tbl>
      <w:tblPr>
        <w:tblStyle w:val="87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72"/>
        </w:trPr>
        <w:tc>
          <w:tcPr>
            <w:tcW w:w="8900" w:type="dxa"/>
            <w:vAlign w:val="center"/>
            <w:textDirection w:val="lrTb"/>
            <w:noWrap w:val="false"/>
          </w:tcPr>
          <w:p>
            <w:pPr>
              <w:pStyle w:val="920"/>
              <w:ind w:firstLine="0"/>
              <w:pageBreakBefore w:val="0"/>
              <w:spacing w:before="0" w:after="0" w:line="360" w:lineRule="auto"/>
              <w:rPr>
                <w:rFonts w:hint="eastAsia" w:ascii="宋体" w:hAnsi="宋体"/>
                <w:sz w:val="24"/>
                <w:szCs w:val="24"/>
                <w:highlight w:val="none"/>
              </w:rPr>
            </w:pPr>
            <w:r>
              <w:rPr>
                <w:rFonts w:hint="eastAsia" w:ascii="宋体" w:hAnsi="宋体" w:cs="宋体"/>
                <w:sz w:val="24"/>
                <w:szCs w:val="24"/>
                <w:highlight w:val="none"/>
              </w:rPr>
              <w:t xml:space="preserve">小写：                             （人民币：</w:t>
            </w:r>
            <w:r>
              <w:rPr>
                <w:rFonts w:hint="eastAsia" w:ascii="宋体" w:hAnsi="宋体"/>
                <w:sz w:val="24"/>
                <w:szCs w:val="24"/>
                <w:highlight w:val="none"/>
                <w:lang w:val="en-US" w:eastAsia="zh-CN"/>
              </w:rPr>
              <w:t xml:space="preserve">元</w:t>
            </w:r>
            <w:r>
              <w:rPr>
                <w:rFonts w:hint="eastAsia" w:ascii="宋体" w:hAnsi="宋体" w:cs="宋体"/>
                <w:sz w:val="24"/>
                <w:szCs w:val="24"/>
                <w:highlight w:val="none"/>
              </w:rPr>
              <w:t xml:space="preserve">）</w:t>
            </w:r>
            <w:r/>
          </w:p>
        </w:tc>
      </w:tr>
      <w:tr>
        <w:trPr>
          <w:cantSplit/>
          <w:trHeight w:val="784"/>
        </w:trPr>
        <w:tc>
          <w:tcPr>
            <w:tcW w:w="8900" w:type="dxa"/>
            <w:vAlign w:val="center"/>
            <w:textDirection w:val="lrTb"/>
            <w:noWrap w:val="false"/>
          </w:tcPr>
          <w:p>
            <w:pPr>
              <w:pStyle w:val="920"/>
              <w:ind w:firstLine="0"/>
              <w:pageBreakBefore w:val="0"/>
              <w:spacing w:before="0" w:after="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大写：                             （人民币：圆）</w:t>
            </w:r>
            <w:r/>
          </w:p>
        </w:tc>
      </w:tr>
    </w:tbl>
    <w:p>
      <w:pPr>
        <w:pageBreakBefore w:val="0"/>
        <w:spacing w:line="360" w:lineRule="auto"/>
        <w:rPr>
          <w:rFonts w:ascii="宋体" w:hAnsi="宋体"/>
          <w:sz w:val="24"/>
          <w:szCs w:val="24"/>
          <w:highlight w:val="none"/>
        </w:rPr>
      </w:pPr>
      <w:r>
        <w:rPr>
          <w:rFonts w:ascii="宋体" w:hAnsi="宋体"/>
          <w:sz w:val="24"/>
          <w:szCs w:val="24"/>
          <w:highlight w:val="none"/>
        </w:rPr>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pStyle w:val="874"/>
        <w:ind w:firstLine="3202"/>
        <w:rPr>
          <w:rFonts w:ascii="宋体" w:hAnsi="宋体"/>
          <w:bCs w:val="0"/>
          <w:color w:val="auto"/>
          <w:highlight w:val="none"/>
        </w:rPr>
      </w:pPr>
      <w:r>
        <w:rPr>
          <w:rFonts w:ascii="宋体" w:hAnsi="宋体"/>
          <w:bCs w:val="0"/>
          <w:color w:val="auto"/>
          <w:highlight w:val="none"/>
        </w:rPr>
      </w:r>
      <w:r/>
    </w:p>
    <w:p>
      <w:pPr>
        <w:pStyle w:val="881"/>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ascii="宋体" w:hAnsi="宋体"/>
          <w:color w:val="auto"/>
          <w:sz w:val="32"/>
          <w:szCs w:val="32"/>
          <w:highlight w:val="none"/>
        </w:rPr>
      </w:r>
      <w:r/>
    </w:p>
    <w:p>
      <w:pPr>
        <w:jc w:val="left"/>
        <w:keepLines w:val="0"/>
        <w:keepNext w:val="0"/>
        <w:pageBreakBefore w:val="0"/>
        <w:spacing w:line="360" w:lineRule="auto"/>
        <w:widowControl w:val="off"/>
        <w:rPr>
          <w:rFonts w:ascii="宋体" w:hAnsi="宋体"/>
          <w:color w:val="auto"/>
          <w:sz w:val="24"/>
          <w:highlight w:val="none"/>
        </w:rPr>
      </w:pPr>
      <w:r/>
      <w:bookmarkStart w:id="92" w:name="_Toc32648"/>
      <w:r/>
      <w:bookmarkStart w:id="93" w:name="_Toc113352361"/>
      <w:r>
        <w:rPr>
          <w:rFonts w:hint="eastAsia" w:ascii="宋体" w:hAnsi="宋体"/>
          <w:bCs/>
          <w:color w:val="auto"/>
          <w:highlight w:val="none"/>
        </w:rPr>
        <w:br w:type="page" w:clear="all"/>
      </w:r>
      <w:bookmarkEnd w:id="92"/>
      <w:r/>
      <w:bookmarkEnd w:id="93"/>
      <w:r>
        <w:rPr>
          <w:rFonts w:hint="eastAsia" w:ascii="宋体" w:hAnsi="宋体" w:eastAsia="宋体" w:cs="宋体"/>
          <w:b/>
          <w:bCs/>
          <w:i w:val="0"/>
          <w:iCs w:val="0"/>
          <w:sz w:val="24"/>
          <w:szCs w:val="24"/>
          <w:highlight w:val="none"/>
          <w:u w:val="none"/>
        </w:rPr>
        <w:t xml:space="preserve">十</w:t>
      </w:r>
      <w:r>
        <w:rPr>
          <w:rFonts w:hint="eastAsia" w:ascii="宋体" w:hAnsi="宋体" w:eastAsia="宋体" w:cs="宋体"/>
          <w:b/>
          <w:bCs/>
          <w:i w:val="0"/>
          <w:iCs w:val="0"/>
          <w:sz w:val="24"/>
          <w:szCs w:val="24"/>
          <w:highlight w:val="none"/>
          <w:u w:val="none"/>
          <w:lang w:val="en-US" w:eastAsia="zh-CN"/>
        </w:rPr>
        <w:t xml:space="preserve">八</w:t>
      </w:r>
      <w:r>
        <w:rPr>
          <w:rFonts w:hint="eastAsia" w:ascii="宋体" w:hAnsi="宋体" w:eastAsia="宋体" w:cs="宋体"/>
          <w:b/>
          <w:bCs/>
          <w:i w:val="0"/>
          <w:iCs w:val="0"/>
          <w:sz w:val="24"/>
          <w:szCs w:val="24"/>
          <w:highlight w:val="none"/>
          <w:u w:val="none"/>
        </w:rPr>
        <w:t xml:space="preserve">、主要标的信息</w:t>
      </w:r>
      <w:r/>
    </w:p>
    <w:p>
      <w:pPr>
        <w:jc w:val="center"/>
        <w:spacing w:before="312" w:line="360" w:lineRule="auto"/>
        <w:rPr>
          <w:rFonts w:ascii="宋体" w:hAnsi="宋体"/>
          <w:b/>
          <w:color w:val="auto"/>
          <w:highlight w:val="none"/>
        </w:rPr>
      </w:pPr>
      <w:r>
        <w:rPr>
          <w:rFonts w:hint="eastAsia" w:ascii="宋体" w:hAnsi="宋体"/>
          <w:b/>
          <w:color w:val="auto"/>
          <w:sz w:val="28"/>
          <w:szCs w:val="28"/>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878"/>
        <w:tblW w:w="91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jc w:val="center"/>
              <w:rPr>
                <w:rFonts w:ascii="宋体" w:hAnsi="宋体" w:cs="宋体"/>
                <w:color w:val="auto"/>
                <w:highlight w:val="none"/>
              </w:rPr>
            </w:pPr>
            <w:r>
              <w:rPr>
                <w:rFonts w:hint="eastAsia" w:ascii="宋体" w:hAnsi="宋体" w:cs="宋体"/>
                <w:highlight w:val="none"/>
              </w:rPr>
              <w:t xml:space="preserve">货物类</w:t>
            </w:r>
            <w:r/>
          </w:p>
        </w:tc>
      </w:tr>
      <w:tr>
        <w:trPr>
          <w:trHeight w:val="2670"/>
        </w:trPr>
        <w:tc>
          <w:tcPr>
            <w:tcW w:w="9153" w:type="dxa"/>
            <w:vAlign w:val="top"/>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color w:val="auto"/>
                <w:highlight w:val="none"/>
              </w:rPr>
            </w:pPr>
            <w:r>
              <w:rPr>
                <w:rFonts w:hint="eastAsia" w:ascii="宋体" w:hAnsi="宋体" w:cs="宋体"/>
                <w:highlight w:val="none"/>
              </w:rPr>
              <w:t xml:space="preserve">单价：</w:t>
            </w:r>
            <w:r/>
          </w:p>
        </w:tc>
      </w:tr>
    </w:tbl>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color w:val="auto"/>
          <w:highlight w:val="none"/>
        </w:rPr>
      </w:pPr>
      <w:r>
        <w:rPr>
          <w:color w:val="auto"/>
          <w:highlight w:val="none"/>
        </w:rPr>
      </w:r>
      <w:r/>
    </w:p>
    <w:sectPr>
      <w:headerReference w:type="default" r:id="rId10"/>
      <w:footerReference w:type="default" r:id="rId12"/>
      <w:footnotePr/>
      <w:endnotePr/>
      <w:type w:val="nextPage"/>
      <w:pgSz w:w="11906" w:h="16838" w:orient="portrait"/>
      <w:pgMar w:top="1440" w:right="1800" w:bottom="1440" w:left="1800" w:header="56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微软雅黑">
    <w:panose1 w:val="020B0503020204020204"/>
  </w:font>
  <w:font w:name="方正仿宋_GBK">
    <w:panose1 w:val="020B0503020202020204"/>
  </w:font>
  <w:font w:name="Cambria">
    <w:panose1 w:val="02040503050406030204"/>
  </w:font>
  <w:font w:name="Courier New">
    <w:panose1 w:val="02070309020205020404"/>
  </w:font>
  <w:font w:name="楷体_GB2312">
    <w:panose1 w:val="02010609060101010101"/>
  </w:font>
  <w:font w:name="宋体_GB2312">
    <w:panose1 w:val="02010600030101010101"/>
  </w:font>
  <w:font w:name="仿宋_GB2312">
    <w:panose1 w:val="02010609060101010101"/>
  </w:font>
  <w:font w:name="黑体">
    <w:panose1 w:val="02010609060101010101"/>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Fonts w:hint="eastAsia"/>
      </w:rPr>
    </w:pPr>
    <w:r>
      <w:rPr>
        <w:rFonts w:hint="eastAsia"/>
        <w:lang w:eastAsia="zh-CN"/>
      </w:rPr>
      <w:t xml:space="preserve">JSZC-321081-BYGC-G2026-000</w:t>
    </w:r>
    <w:r>
      <w:rPr>
        <w:rFonts w:hint="eastAsia"/>
        <w:lang w:val="en-US" w:eastAsia="zh-CN"/>
      </w:rPr>
      <w:t xml:space="preserve">6</w:t>
    </w:r>
    <w:r>
      <w:rPr>
        <w:rFonts w:hint="eastAsia"/>
      </w:rPr>
      <w:t xml:space="preserve">                </w:t>
    </w:r>
    <w:r>
      <w:t xml:space="preserve">    </w:t>
    </w:r>
    <w:r>
      <w:rPr>
        <w:rFonts w:hint="eastAsia"/>
        <w:lang w:val="en-US" w:eastAsia="zh-CN"/>
      </w:rPr>
      <w:t xml:space="preserve">       </w:t>
    </w:r>
    <w:r>
      <w:rPr>
        <w:rFonts w:hint="eastAsia"/>
      </w:rPr>
      <w:t xml:space="preserve">             </w:t>
    </w:r>
    <w:r>
      <w:rPr>
        <w:rFonts w:hint="eastAsia"/>
        <w:lang w:eastAsia="zh-CN"/>
      </w:rPr>
      <w:t xml:space="preserve">扬州博远工程咨询有限公司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both"/>
      <w:rPr>
        <w:rFonts w:hint="eastAsia"/>
        <w:lang w:val="en-US" w:eastAsia="zh-CN"/>
      </w:rPr>
    </w:pPr>
    <w:r>
      <w:rPr>
        <w:rFonts w:hint="eastAsia"/>
        <w:lang w:val="en-US" w:eastAsia="zh-CN"/>
      </w:rPr>
    </w:r>
    <w:r/>
  </w:p>
  <w:p>
    <w:pPr>
      <w:pStyle w:val="891"/>
      <w:jc w:val="right"/>
    </w:pPr>
    <w:r>
      <w:rPr>
        <w:rFonts w:hint="eastAsia"/>
        <w:lang w:eastAsia="zh-CN"/>
      </w:rPr>
      <w:t xml:space="preserve">JSZC-321081-BYGC-G2026-000</w:t>
    </w:r>
    <w:r>
      <w:rPr>
        <w:rFonts w:hint="eastAsia"/>
        <w:lang w:val="en-US" w:eastAsia="zh-CN"/>
      </w:rPr>
      <w:t xml:space="preserve">6</w:t>
    </w:r>
    <w:r>
      <w:rPr>
        <w:rFonts w:hint="eastAsia"/>
      </w:rPr>
      <w:t xml:space="preserve">                                   </w:t>
    </w:r>
    <w:r>
      <w:rPr>
        <w:rFonts w:hint="eastAsia"/>
        <w:sz w:val="16"/>
        <w:szCs w:val="16"/>
      </w:rPr>
      <w:t xml:space="preserve"> </w:t>
    </w:r>
    <w:r>
      <w:rPr>
        <w:rFonts w:hint="eastAsia" w:ascii="宋体" w:hAnsi="宋体"/>
        <w:sz w:val="20"/>
        <w:szCs w:val="20"/>
      </w:rPr>
      <w:t xml:space="preserve">扬州博远工程咨询有限公司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1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7"/>
    <w:link w:val="873"/>
    <w:uiPriority w:val="9"/>
    <w:rPr>
      <w:rFonts w:ascii="Arial" w:hAnsi="Arial" w:eastAsia="Arial" w:cs="Arial"/>
      <w:sz w:val="40"/>
      <w:szCs w:val="40"/>
    </w:rPr>
  </w:style>
  <w:style w:type="character" w:styleId="707">
    <w:name w:val="Heading 2 Char"/>
    <w:basedOn w:val="877"/>
    <w:link w:val="874"/>
    <w:uiPriority w:val="9"/>
    <w:rPr>
      <w:rFonts w:ascii="Arial" w:hAnsi="Arial" w:eastAsia="Arial" w:cs="Arial"/>
      <w:sz w:val="34"/>
    </w:rPr>
  </w:style>
  <w:style w:type="character" w:styleId="708">
    <w:name w:val="Heading 3 Char"/>
    <w:basedOn w:val="877"/>
    <w:link w:val="875"/>
    <w:uiPriority w:val="9"/>
    <w:rPr>
      <w:rFonts w:ascii="Arial" w:hAnsi="Arial" w:eastAsia="Arial" w:cs="Arial"/>
      <w:sz w:val="30"/>
      <w:szCs w:val="30"/>
    </w:rPr>
  </w:style>
  <w:style w:type="character" w:styleId="709">
    <w:name w:val="Heading 4 Char"/>
    <w:basedOn w:val="877"/>
    <w:link w:val="876"/>
    <w:uiPriority w:val="9"/>
    <w:rPr>
      <w:rFonts w:ascii="Arial" w:hAnsi="Arial" w:eastAsia="Arial" w:cs="Arial"/>
      <w:b/>
      <w:bCs/>
      <w:sz w:val="26"/>
      <w:szCs w:val="26"/>
    </w:rPr>
  </w:style>
  <w:style w:type="paragraph" w:styleId="710">
    <w:name w:val="Heading 5"/>
    <w:basedOn w:val="872"/>
    <w:next w:val="872"/>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77"/>
    <w:link w:val="710"/>
    <w:uiPriority w:val="9"/>
    <w:rPr>
      <w:rFonts w:ascii="Arial" w:hAnsi="Arial" w:eastAsia="Arial" w:cs="Arial"/>
      <w:b/>
      <w:bCs/>
      <w:sz w:val="24"/>
      <w:szCs w:val="24"/>
    </w:rPr>
  </w:style>
  <w:style w:type="paragraph" w:styleId="712">
    <w:name w:val="Heading 6"/>
    <w:basedOn w:val="872"/>
    <w:next w:val="872"/>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7"/>
    <w:link w:val="712"/>
    <w:uiPriority w:val="9"/>
    <w:rPr>
      <w:rFonts w:ascii="Arial" w:hAnsi="Arial" w:eastAsia="Arial" w:cs="Arial"/>
      <w:b/>
      <w:bCs/>
      <w:sz w:val="22"/>
      <w:szCs w:val="22"/>
    </w:rPr>
  </w:style>
  <w:style w:type="paragraph" w:styleId="714">
    <w:name w:val="Heading 7"/>
    <w:basedOn w:val="872"/>
    <w:next w:val="872"/>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7"/>
    <w:link w:val="714"/>
    <w:uiPriority w:val="9"/>
    <w:rPr>
      <w:rFonts w:ascii="Arial" w:hAnsi="Arial" w:eastAsia="Arial" w:cs="Arial"/>
      <w:b/>
      <w:bCs/>
      <w:i/>
      <w:iCs/>
      <w:sz w:val="22"/>
      <w:szCs w:val="22"/>
    </w:rPr>
  </w:style>
  <w:style w:type="paragraph" w:styleId="716">
    <w:name w:val="Heading 8"/>
    <w:basedOn w:val="872"/>
    <w:next w:val="872"/>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7"/>
    <w:link w:val="716"/>
    <w:uiPriority w:val="9"/>
    <w:rPr>
      <w:rFonts w:ascii="Arial" w:hAnsi="Arial" w:eastAsia="Arial" w:cs="Arial"/>
      <w:i/>
      <w:iCs/>
      <w:sz w:val="22"/>
      <w:szCs w:val="22"/>
    </w:rPr>
  </w:style>
  <w:style w:type="paragraph" w:styleId="718">
    <w:name w:val="Heading 9"/>
    <w:basedOn w:val="872"/>
    <w:next w:val="872"/>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7"/>
    <w:link w:val="718"/>
    <w:uiPriority w:val="9"/>
    <w:rPr>
      <w:rFonts w:ascii="Arial" w:hAnsi="Arial" w:eastAsia="Arial" w:cs="Arial"/>
      <w:i/>
      <w:iCs/>
      <w:sz w:val="21"/>
      <w:szCs w:val="21"/>
    </w:rPr>
  </w:style>
  <w:style w:type="paragraph" w:styleId="720">
    <w:name w:val="Title"/>
    <w:basedOn w:val="872"/>
    <w:next w:val="872"/>
    <w:link w:val="721"/>
    <w:uiPriority w:val="10"/>
    <w:qFormat/>
    <w:pPr>
      <w:contextualSpacing/>
      <w:spacing w:before="300" w:after="200"/>
    </w:pPr>
    <w:rPr>
      <w:sz w:val="48"/>
      <w:szCs w:val="48"/>
    </w:rPr>
  </w:style>
  <w:style w:type="character" w:styleId="721">
    <w:name w:val="Title Char"/>
    <w:basedOn w:val="877"/>
    <w:link w:val="720"/>
    <w:uiPriority w:val="10"/>
    <w:rPr>
      <w:sz w:val="48"/>
      <w:szCs w:val="48"/>
    </w:rPr>
  </w:style>
  <w:style w:type="character" w:styleId="722">
    <w:name w:val="Subtitle Char"/>
    <w:basedOn w:val="877"/>
    <w:link w:val="893"/>
    <w:uiPriority w:val="11"/>
    <w:rPr>
      <w:sz w:val="24"/>
      <w:szCs w:val="24"/>
    </w:rPr>
  </w:style>
  <w:style w:type="paragraph" w:styleId="723">
    <w:name w:val="Quote"/>
    <w:basedOn w:val="872"/>
    <w:next w:val="872"/>
    <w:link w:val="724"/>
    <w:uiPriority w:val="29"/>
    <w:qFormat/>
    <w:pPr>
      <w:ind w:left="720" w:right="720"/>
    </w:pPr>
    <w:rPr>
      <w:i/>
    </w:rPr>
  </w:style>
  <w:style w:type="character" w:styleId="724">
    <w:name w:val="Quote Char"/>
    <w:link w:val="723"/>
    <w:uiPriority w:val="29"/>
    <w:rPr>
      <w:i/>
    </w:rPr>
  </w:style>
  <w:style w:type="paragraph" w:styleId="725">
    <w:name w:val="Intense Quote"/>
    <w:basedOn w:val="872"/>
    <w:next w:val="872"/>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7"/>
    <w:link w:val="891"/>
    <w:uiPriority w:val="99"/>
  </w:style>
  <w:style w:type="character" w:styleId="728">
    <w:name w:val="Footer Char"/>
    <w:basedOn w:val="877"/>
    <w:link w:val="890"/>
    <w:uiPriority w:val="99"/>
  </w:style>
  <w:style w:type="paragraph" w:styleId="729">
    <w:name w:val="Caption"/>
    <w:basedOn w:val="872"/>
    <w:next w:val="872"/>
    <w:uiPriority w:val="35"/>
    <w:semiHidden/>
    <w:unhideWhenUsed/>
    <w:qFormat/>
    <w:pPr>
      <w:spacing w:line="276" w:lineRule="auto"/>
    </w:pPr>
    <w:rPr>
      <w:b/>
      <w:bCs/>
      <w:color w:val="4f81bd" w:themeColor="accent1"/>
      <w:sz w:val="18"/>
      <w:szCs w:val="18"/>
    </w:rPr>
  </w:style>
  <w:style w:type="character" w:styleId="730">
    <w:name w:val="Caption Char"/>
    <w:basedOn w:val="729"/>
    <w:link w:val="890"/>
    <w:uiPriority w:val="99"/>
  </w:style>
  <w:style w:type="table" w:styleId="731">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6">
    <w:name w:val="footnote text"/>
    <w:basedOn w:val="872"/>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77"/>
    <w:uiPriority w:val="99"/>
    <w:unhideWhenUsed/>
    <w:rPr>
      <w:vertAlign w:val="superscript"/>
    </w:rPr>
  </w:style>
  <w:style w:type="paragraph" w:styleId="859">
    <w:name w:val="endnote text"/>
    <w:basedOn w:val="872"/>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7"/>
    <w:uiPriority w:val="99"/>
    <w:semiHidden/>
    <w:unhideWhenUsed/>
    <w:rPr>
      <w:vertAlign w:val="superscript"/>
    </w:r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9"/>
    <w:uiPriority w:val="0"/>
    <w:qFormat/>
    <w:pPr>
      <w:jc w:val="both"/>
      <w:widowControl w:val="off"/>
    </w:pPr>
    <w:rPr>
      <w:rFonts w:ascii="Times New Roman" w:hAnsi="Times New Roman" w:eastAsia="宋体" w:cs="Times New Roman"/>
      <w:sz w:val="21"/>
      <w:szCs w:val="22"/>
      <w:lang w:val="en-US" w:eastAsia="zh-CN" w:bidi="ar-SA"/>
    </w:rPr>
  </w:style>
  <w:style w:type="paragraph" w:styleId="873">
    <w:name w:val="Heading 1"/>
    <w:basedOn w:val="872"/>
    <w:next w:val="872"/>
    <w:link w:val="900"/>
    <w:uiPriority w:val="9"/>
    <w:qFormat/>
    <w:pPr>
      <w:keepLines/>
      <w:keepNext/>
      <w:spacing w:before="340" w:after="330" w:line="578" w:lineRule="auto"/>
      <w:outlineLvl w:val="0"/>
    </w:pPr>
    <w:rPr>
      <w:b/>
      <w:bCs/>
      <w:sz w:val="44"/>
      <w:szCs w:val="44"/>
    </w:rPr>
  </w:style>
  <w:style w:type="paragraph" w:styleId="874">
    <w:name w:val="Heading 2"/>
    <w:basedOn w:val="872"/>
    <w:next w:val="872"/>
    <w:link w:val="901"/>
    <w:uiPriority w:val="9"/>
    <w:unhideWhenUsed/>
    <w:qFormat/>
    <w:pPr>
      <w:keepLines/>
      <w:keepNext/>
      <w:spacing w:before="260" w:after="260" w:line="416" w:lineRule="auto"/>
      <w:outlineLvl w:val="1"/>
    </w:pPr>
    <w:rPr>
      <w:rFonts w:ascii="等线 Light" w:hAnsi="等线 Light" w:eastAsia="等线 Light"/>
      <w:b/>
      <w:bCs/>
      <w:sz w:val="32"/>
      <w:szCs w:val="32"/>
    </w:rPr>
  </w:style>
  <w:style w:type="paragraph" w:styleId="875">
    <w:name w:val="Heading 3"/>
    <w:basedOn w:val="872"/>
    <w:next w:val="872"/>
    <w:uiPriority w:val="0"/>
    <w:qFormat/>
    <w:pPr>
      <w:keepLines/>
      <w:keepNext/>
      <w:spacing w:before="260" w:after="260" w:line="413" w:lineRule="auto"/>
      <w:outlineLvl w:val="2"/>
    </w:pPr>
    <w:rPr>
      <w:b/>
      <w:sz w:val="32"/>
    </w:rPr>
  </w:style>
  <w:style w:type="paragraph" w:styleId="876">
    <w:name w:val="Heading 4"/>
    <w:basedOn w:val="872"/>
    <w:next w:val="872"/>
    <w:link w:val="903"/>
    <w:uiPriority w:val="0"/>
    <w:qFormat/>
    <w:pPr>
      <w:spacing w:before="280" w:after="290" w:line="377" w:lineRule="auto"/>
      <w:outlineLvl w:val="3"/>
    </w:pPr>
    <w:rPr>
      <w:rFonts w:ascii="Arial" w:hAnsi="Arial" w:eastAsia="黑体"/>
      <w:b/>
      <w:bCs/>
      <w:sz w:val="28"/>
      <w:szCs w:val="28"/>
    </w:rPr>
  </w:style>
  <w:style w:type="character" w:styleId="877" w:default="1">
    <w:name w:val="Default Paragraph Font"/>
    <w:uiPriority w:val="1"/>
    <w:unhideWhenUsed/>
    <w:qFormat/>
  </w:style>
  <w:style w:type="table" w:styleId="878" w:default="1">
    <w:name w:val="Normal Table"/>
    <w:uiPriority w:val="99"/>
    <w:unhideWhenUsed/>
    <w:qFormat/>
    <w:tblPr>
      <w:tblCellMar>
        <w:left w:w="108" w:type="dxa"/>
        <w:top w:w="0" w:type="dxa"/>
        <w:right w:w="108" w:type="dxa"/>
        <w:bottom w:w="0" w:type="dxa"/>
      </w:tblCellMar>
    </w:tblPr>
  </w:style>
  <w:style w:type="paragraph" w:styleId="879" w:customStyle="1">
    <w:name w:val="Default"/>
    <w:next w:val="872"/>
    <w:uiPriority w:val="0"/>
    <w:qFormat/>
    <w:pPr>
      <w:widowControl w:val="off"/>
    </w:pPr>
    <w:rPr>
      <w:rFonts w:ascii="宋体" w:hAnsi="Times New Roman" w:eastAsia="宋体" w:cs="宋体"/>
      <w:color w:val="000000"/>
      <w:sz w:val="24"/>
      <w:szCs w:val="24"/>
      <w:lang w:val="en-US" w:eastAsia="zh-CN" w:bidi="ar-SA"/>
    </w:rPr>
  </w:style>
  <w:style w:type="paragraph" w:styleId="880">
    <w:name w:val="table of authorities"/>
    <w:basedOn w:val="872"/>
    <w:next w:val="872"/>
    <w:uiPriority w:val="0"/>
    <w:qFormat/>
    <w:pPr>
      <w:ind w:left="420" w:firstLine="200"/>
      <w:spacing w:line="360" w:lineRule="auto"/>
    </w:pPr>
    <w:rPr>
      <w:rFonts w:ascii="Times New Roman" w:hAnsi="Times New Roman"/>
      <w:sz w:val="24"/>
      <w:szCs w:val="24"/>
    </w:rPr>
  </w:style>
  <w:style w:type="paragraph" w:styleId="881">
    <w:name w:val="Normal Indent"/>
    <w:basedOn w:val="872"/>
    <w:link w:val="902"/>
    <w:uiPriority w:val="0"/>
    <w:unhideWhenUsed/>
    <w:qFormat/>
    <w:pPr>
      <w:ind w:firstLine="420"/>
    </w:pPr>
  </w:style>
  <w:style w:type="paragraph" w:styleId="882">
    <w:name w:val="annotation text"/>
    <w:basedOn w:val="872"/>
    <w:link w:val="904"/>
    <w:uiPriority w:val="0"/>
    <w:qFormat/>
    <w:pPr>
      <w:jc w:val="left"/>
    </w:pPr>
  </w:style>
  <w:style w:type="paragraph" w:styleId="883">
    <w:name w:val="Body Text"/>
    <w:basedOn w:val="872"/>
    <w:link w:val="905"/>
    <w:uiPriority w:val="0"/>
    <w:qFormat/>
    <w:rPr>
      <w:rFonts w:ascii="楷体_GB2312" w:hAnsi="Arial" w:eastAsia="楷体_GB2312"/>
      <w:sz w:val="28"/>
      <w:szCs w:val="28"/>
    </w:rPr>
  </w:style>
  <w:style w:type="paragraph" w:styleId="884">
    <w:name w:val="Body Text Indent"/>
    <w:basedOn w:val="872"/>
    <w:link w:val="906"/>
    <w:uiPriority w:val="99"/>
    <w:unhideWhenUsed/>
    <w:qFormat/>
    <w:pPr>
      <w:ind w:left="420"/>
      <w:spacing w:after="120"/>
    </w:pPr>
  </w:style>
  <w:style w:type="paragraph" w:styleId="885">
    <w:name w:val="Block Text"/>
    <w:basedOn w:val="872"/>
    <w:uiPriority w:val="0"/>
    <w:qFormat/>
    <w:pPr>
      <w:ind w:left="1440" w:right="1440"/>
      <w:spacing w:after="120"/>
    </w:pPr>
  </w:style>
  <w:style w:type="paragraph" w:styleId="886">
    <w:name w:val="index 4"/>
    <w:basedOn w:val="872"/>
    <w:next w:val="872"/>
    <w:uiPriority w:val="0"/>
    <w:qFormat/>
    <w:pPr>
      <w:ind w:left="600"/>
    </w:pPr>
  </w:style>
  <w:style w:type="paragraph" w:styleId="887">
    <w:name w:val="Plain Text"/>
    <w:basedOn w:val="872"/>
    <w:link w:val="907"/>
    <w:uiPriority w:val="0"/>
    <w:qFormat/>
    <w:rPr>
      <w:rFonts w:ascii="宋体" w:hAnsi="Courier New"/>
      <w:sz w:val="20"/>
      <w:szCs w:val="21"/>
    </w:rPr>
  </w:style>
  <w:style w:type="paragraph" w:styleId="888">
    <w:name w:val="Date"/>
    <w:basedOn w:val="872"/>
    <w:next w:val="872"/>
    <w:link w:val="908"/>
    <w:uiPriority w:val="99"/>
    <w:unhideWhenUsed/>
    <w:qFormat/>
    <w:pPr>
      <w:ind w:left="100"/>
    </w:pPr>
  </w:style>
  <w:style w:type="paragraph" w:styleId="889">
    <w:name w:val="Balloon Text"/>
    <w:basedOn w:val="872"/>
    <w:link w:val="909"/>
    <w:uiPriority w:val="99"/>
    <w:unhideWhenUsed/>
    <w:qFormat/>
    <w:rPr>
      <w:sz w:val="18"/>
      <w:szCs w:val="18"/>
    </w:rPr>
  </w:style>
  <w:style w:type="paragraph" w:styleId="890">
    <w:name w:val="Footer"/>
    <w:basedOn w:val="872"/>
    <w:link w:val="910"/>
    <w:uiPriority w:val="99"/>
    <w:unhideWhenUsed/>
    <w:qFormat/>
    <w:pPr>
      <w:jc w:val="left"/>
      <w:tabs>
        <w:tab w:val="center" w:pos="4153" w:leader="none"/>
        <w:tab w:val="right" w:pos="8306" w:leader="none"/>
      </w:tabs>
    </w:pPr>
    <w:rPr>
      <w:sz w:val="18"/>
      <w:szCs w:val="18"/>
    </w:rPr>
  </w:style>
  <w:style w:type="paragraph" w:styleId="891">
    <w:name w:val="Header"/>
    <w:basedOn w:val="872"/>
    <w:link w:val="9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72"/>
    <w:next w:val="872"/>
    <w:uiPriority w:val="39"/>
    <w:unhideWhenUsed/>
    <w:qFormat/>
  </w:style>
  <w:style w:type="paragraph" w:styleId="893">
    <w:name w:val="Subtitle"/>
    <w:basedOn w:val="872"/>
    <w:next w:val="872"/>
    <w:uiPriority w:val="11"/>
    <w:qFormat/>
    <w:pPr>
      <w:jc w:val="center"/>
      <w:spacing w:before="240" w:after="60" w:line="312" w:lineRule="auto"/>
      <w:outlineLvl w:val="1"/>
    </w:pPr>
    <w:rPr>
      <w:rFonts w:ascii="Cambria" w:hAnsi="Cambria"/>
      <w:b/>
      <w:bCs/>
      <w:sz w:val="32"/>
      <w:szCs w:val="32"/>
    </w:rPr>
  </w:style>
  <w:style w:type="paragraph" w:styleId="894">
    <w:name w:val="Normal (Web)"/>
    <w:basedOn w:val="872"/>
    <w:uiPriority w:val="99"/>
    <w:unhideWhenUsed/>
    <w:qFormat/>
    <w:pPr>
      <w:jc w:val="left"/>
      <w:spacing w:before="100" w:beforeAutospacing="1" w:after="100" w:afterAutospacing="1"/>
      <w:widowControl/>
    </w:pPr>
    <w:rPr>
      <w:rFonts w:ascii="宋体" w:hAnsi="宋体" w:cs="宋体"/>
      <w:sz w:val="24"/>
      <w:szCs w:val="24"/>
    </w:rPr>
  </w:style>
  <w:style w:type="paragraph" w:styleId="895">
    <w:name w:val="Body Text First Indent 2"/>
    <w:basedOn w:val="884"/>
    <w:uiPriority w:val="0"/>
    <w:qFormat/>
    <w:pPr>
      <w:ind w:firstLine="420"/>
    </w:pPr>
  </w:style>
  <w:style w:type="table" w:styleId="896">
    <w:name w:val="Table Grid"/>
    <w:basedOn w:val="8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uiPriority w:val="0"/>
    <w:qFormat/>
    <w:rPr>
      <w:b/>
      <w:bCs/>
    </w:rPr>
  </w:style>
  <w:style w:type="character" w:styleId="898">
    <w:name w:val="Emphasis"/>
    <w:uiPriority w:val="0"/>
    <w:qFormat/>
    <w:rPr>
      <w:i/>
    </w:rPr>
  </w:style>
  <w:style w:type="character" w:styleId="899">
    <w:name w:val="Hyperlink"/>
    <w:basedOn w:val="877"/>
    <w:uiPriority w:val="99"/>
    <w:semiHidden/>
    <w:unhideWhenUsed/>
    <w:qFormat/>
    <w:rPr>
      <w:color w:val="0000ff"/>
      <w:u w:val="single"/>
    </w:rPr>
  </w:style>
  <w:style w:type="character" w:styleId="900" w:customStyle="1">
    <w:name w:val="标题 1 字符"/>
    <w:link w:val="873"/>
    <w:uiPriority w:val="9"/>
    <w:qFormat/>
    <w:rPr>
      <w:b/>
      <w:bCs/>
      <w:sz w:val="44"/>
      <w:szCs w:val="44"/>
    </w:rPr>
  </w:style>
  <w:style w:type="character" w:styleId="901" w:customStyle="1">
    <w:name w:val="标题 2 字符"/>
    <w:link w:val="874"/>
    <w:uiPriority w:val="9"/>
    <w:semiHidden/>
    <w:qFormat/>
    <w:rPr>
      <w:rFonts w:ascii="等线 Light" w:hAnsi="等线 Light" w:eastAsia="等线 Light" w:cs="Times New Roman"/>
      <w:b/>
      <w:bCs/>
      <w:sz w:val="32"/>
      <w:szCs w:val="32"/>
    </w:rPr>
  </w:style>
  <w:style w:type="character" w:styleId="902" w:customStyle="1">
    <w:name w:val="正文缩进 字符"/>
    <w:link w:val="881"/>
    <w:uiPriority w:val="0"/>
    <w:qFormat/>
  </w:style>
  <w:style w:type="character" w:styleId="903" w:customStyle="1">
    <w:name w:val="标题 4 字符"/>
    <w:link w:val="876"/>
    <w:uiPriority w:val="0"/>
    <w:qFormat/>
    <w:rPr>
      <w:rFonts w:ascii="Arial" w:hAnsi="Arial" w:eastAsia="黑体" w:cs="Times New Roman"/>
      <w:b/>
      <w:bCs/>
      <w:sz w:val="28"/>
      <w:szCs w:val="28"/>
    </w:rPr>
  </w:style>
  <w:style w:type="character" w:styleId="904" w:customStyle="1">
    <w:name w:val="批注文字 字符"/>
    <w:link w:val="882"/>
    <w:uiPriority w:val="0"/>
    <w:qFormat/>
    <w:rPr>
      <w:sz w:val="21"/>
      <w:szCs w:val="22"/>
    </w:rPr>
  </w:style>
  <w:style w:type="character" w:styleId="905" w:customStyle="1">
    <w:name w:val="正文文本 字符"/>
    <w:link w:val="883"/>
    <w:uiPriority w:val="0"/>
    <w:qFormat/>
    <w:rPr>
      <w:rFonts w:ascii="楷体_GB2312" w:hAnsi="Arial" w:eastAsia="楷体_GB2312" w:cs="Times New Roman"/>
      <w:sz w:val="28"/>
      <w:szCs w:val="28"/>
    </w:rPr>
  </w:style>
  <w:style w:type="character" w:styleId="906" w:customStyle="1">
    <w:name w:val="正文文本缩进 Char"/>
    <w:link w:val="884"/>
    <w:uiPriority w:val="99"/>
    <w:qFormat/>
    <w:rPr>
      <w:sz w:val="21"/>
      <w:szCs w:val="22"/>
    </w:rPr>
  </w:style>
  <w:style w:type="character" w:styleId="907" w:customStyle="1">
    <w:name w:val="纯文本 字符"/>
    <w:link w:val="887"/>
    <w:uiPriority w:val="0"/>
    <w:qFormat/>
    <w:rPr>
      <w:rFonts w:ascii="宋体" w:hAnsi="Courier New" w:eastAsia="宋体" w:cs="Times New Roman"/>
      <w:szCs w:val="21"/>
    </w:rPr>
  </w:style>
  <w:style w:type="character" w:styleId="908" w:customStyle="1">
    <w:name w:val="日期 字符"/>
    <w:link w:val="888"/>
    <w:uiPriority w:val="99"/>
    <w:semiHidden/>
    <w:qFormat/>
    <w:rPr>
      <w:sz w:val="21"/>
      <w:szCs w:val="22"/>
    </w:rPr>
  </w:style>
  <w:style w:type="character" w:styleId="909" w:customStyle="1">
    <w:name w:val="批注框文本 字符"/>
    <w:link w:val="889"/>
    <w:uiPriority w:val="99"/>
    <w:semiHidden/>
    <w:qFormat/>
    <w:rPr>
      <w:sz w:val="18"/>
      <w:szCs w:val="18"/>
    </w:rPr>
  </w:style>
  <w:style w:type="character" w:styleId="910" w:customStyle="1">
    <w:name w:val="页脚 字符"/>
    <w:link w:val="890"/>
    <w:uiPriority w:val="99"/>
    <w:qFormat/>
    <w:rPr>
      <w:sz w:val="18"/>
      <w:szCs w:val="18"/>
    </w:rPr>
  </w:style>
  <w:style w:type="character" w:styleId="911" w:customStyle="1">
    <w:name w:val="页眉 字符"/>
    <w:link w:val="891"/>
    <w:uiPriority w:val="99"/>
    <w:qFormat/>
    <w:rPr>
      <w:sz w:val="18"/>
      <w:szCs w:val="18"/>
    </w:rPr>
  </w:style>
  <w:style w:type="paragraph" w:styleId="912" w:customStyle="1">
    <w:name w:val="列表项目符号 21"/>
    <w:basedOn w:val="872"/>
    <w:uiPriority w:val="99"/>
    <w:unhideWhenUsed/>
    <w:qFormat/>
    <w:pPr>
      <w:numPr>
        <w:ilvl w:val="0"/>
        <w:numId w:val="1"/>
      </w:numPr>
    </w:pPr>
  </w:style>
  <w:style w:type="character" w:styleId="913" w:customStyle="1">
    <w:name w:val="NormalCharacter"/>
    <w:uiPriority w:val="0"/>
    <w:semiHidden/>
    <w:qFormat/>
    <w:rPr>
      <w:sz w:val="21"/>
      <w:szCs w:val="22"/>
      <w:lang w:val="en-US" w:eastAsia="zh-CN" w:bidi="ar-SA"/>
    </w:rPr>
  </w:style>
  <w:style w:type="character" w:styleId="914" w:customStyle="1">
    <w:name w:val="列出段落 Char"/>
    <w:link w:val="915"/>
    <w:uiPriority w:val="0"/>
    <w:qFormat/>
    <w:rPr>
      <w:sz w:val="24"/>
      <w:szCs w:val="24"/>
      <w:lang w:eastAsia="en-US" w:bidi="en-US"/>
    </w:rPr>
  </w:style>
  <w:style w:type="paragraph" w:styleId="915" w:customStyle="1">
    <w:name w:val="列出段落1"/>
    <w:basedOn w:val="872"/>
    <w:link w:val="914"/>
    <w:uiPriority w:val="0"/>
    <w:qFormat/>
    <w:pPr>
      <w:contextualSpacing/>
      <w:ind w:left="720"/>
      <w:jc w:val="left"/>
      <w:widowControl/>
    </w:pPr>
    <w:rPr>
      <w:sz w:val="24"/>
      <w:szCs w:val="24"/>
      <w:lang w:eastAsia="en-US" w:bidi="en-US"/>
    </w:rPr>
  </w:style>
  <w:style w:type="character" w:styleId="916" w:customStyle="1">
    <w:name w:val="font61"/>
    <w:uiPriority w:val="0"/>
    <w:qFormat/>
    <w:rPr>
      <w:rFonts w:hint="eastAsia" w:ascii="宋体" w:hAnsi="宋体" w:eastAsia="宋体" w:cs="宋体"/>
      <w:color w:val="000000"/>
      <w:sz w:val="24"/>
      <w:szCs w:val="24"/>
      <w:u w:val="none"/>
    </w:rPr>
  </w:style>
  <w:style w:type="character" w:styleId="917" w:customStyle="1">
    <w:name w:val="font21"/>
    <w:uiPriority w:val="0"/>
    <w:qFormat/>
    <w:rPr>
      <w:rFonts w:hint="default" w:ascii="Times New Roman" w:hAnsi="Times New Roman" w:cs="Times New Roman"/>
      <w:color w:val="000000"/>
      <w:sz w:val="24"/>
      <w:szCs w:val="24"/>
      <w:u w:val="none"/>
    </w:rPr>
  </w:style>
  <w:style w:type="character" w:styleId="918" w:customStyle="1">
    <w:name w:val="font71"/>
    <w:uiPriority w:val="0"/>
    <w:qFormat/>
    <w:rPr>
      <w:rFonts w:hint="eastAsia" w:ascii="宋体" w:hAnsi="宋体" w:eastAsia="宋体" w:cs="宋体"/>
      <w:color w:val="000000"/>
      <w:sz w:val="21"/>
      <w:szCs w:val="21"/>
      <w:u w:val="none"/>
    </w:rPr>
  </w:style>
  <w:style w:type="character" w:styleId="919" w:customStyle="1">
    <w:name w:val="font101"/>
    <w:uiPriority w:val="0"/>
    <w:qFormat/>
    <w:rPr>
      <w:rFonts w:hint="default" w:ascii="Times New Roman" w:hAnsi="Times New Roman" w:cs="Times New Roman"/>
      <w:color w:val="000000"/>
      <w:sz w:val="24"/>
      <w:szCs w:val="24"/>
      <w:u w:val="none"/>
    </w:rPr>
  </w:style>
  <w:style w:type="paragraph" w:styleId="920" w:customStyle="1">
    <w:name w:val="普通正文"/>
    <w:basedOn w:val="921"/>
    <w:uiPriority w:val="0"/>
    <w:qFormat/>
    <w:pPr>
      <w:ind w:firstLine="480"/>
      <w:jc w:val="left"/>
      <w:spacing w:before="120" w:after="120" w:line="360" w:lineRule="auto"/>
    </w:pPr>
    <w:rPr>
      <w:rFonts w:ascii="Arial" w:hAnsi="Arial" w:eastAsia="宋体" w:cs="Times New Roman"/>
      <w:sz w:val="24"/>
      <w:szCs w:val="24"/>
    </w:rPr>
  </w:style>
  <w:style w:type="paragraph" w:styleId="921" w:customStyle="1">
    <w:name w:val="正文1"/>
    <w:basedOn w:val="922"/>
    <w:next w:val="923"/>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922" w:customStyle="1">
    <w:name w:val="正文缩进1"/>
    <w:basedOn w:val="872"/>
    <w:uiPriority w:val="0"/>
    <w:unhideWhenUsed/>
    <w:qFormat/>
    <w:pPr>
      <w:ind w:firstLine="420"/>
    </w:pPr>
  </w:style>
  <w:style w:type="paragraph" w:styleId="923" w:customStyle="1">
    <w:name w:val="正文文本1"/>
    <w:basedOn w:val="921"/>
    <w:next w:val="924"/>
    <w:uiPriority w:val="0"/>
    <w:qFormat/>
    <w:pPr>
      <w:spacing w:after="120"/>
    </w:pPr>
    <w:rPr>
      <w:lang w:val="en-US" w:eastAsia="en-US"/>
    </w:rPr>
  </w:style>
  <w:style w:type="paragraph" w:styleId="924" w:customStyle="1">
    <w:name w:val="一级条标题"/>
    <w:basedOn w:val="925"/>
    <w:next w:val="9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5" w:customStyle="1">
    <w:name w:val="章标题"/>
    <w:next w:val="87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6" w:customStyle="1">
    <w:name w:val="段"/>
    <w:basedOn w:val="921"/>
    <w:next w:val="872"/>
    <w:uiPriority w:val="0"/>
    <w:qFormat/>
    <w:pPr>
      <w:ind w:firstLine="200"/>
      <w:widowControl/>
    </w:pPr>
    <w:rPr>
      <w:rFonts w:ascii="宋体"/>
      <w:sz w:val="20"/>
      <w:szCs w:val="20"/>
    </w:rPr>
  </w:style>
  <w:style w:type="paragraph" w:styleId="927" w:customStyle="1">
    <w:name w:val="Char"/>
    <w:basedOn w:val="872"/>
    <w:uiPriority w:val="0"/>
    <w:qFormat/>
    <w:pPr>
      <w:ind w:firstLine="200"/>
      <w:tabs>
        <w:tab w:val="left" w:pos="360" w:leader="none"/>
      </w:tabs>
    </w:pPr>
    <w:rPr>
      <w:rFonts w:ascii="Times New Roman" w:hAnsi="Times New Roman" w:eastAsia="宋体" w:cs="Times New Roman"/>
      <w:sz w:val="28"/>
      <w:szCs w:val="30"/>
    </w:rPr>
  </w:style>
  <w:style w:type="paragraph" w:styleId="928" w:customStyle="1">
    <w:name w:val="p0"/>
    <w:basedOn w:val="872"/>
    <w:uiPriority w:val="0"/>
    <w:qFormat/>
    <w:pPr>
      <w:widowControl/>
    </w:pPr>
    <w:rPr>
      <w:rFonts w:ascii="Times New Roman" w:hAnsi="Times New Roman" w:eastAsia="宋体" w:cs="Times New Roman"/>
      <w:szCs w:val="21"/>
    </w:rPr>
  </w:style>
  <w:style w:type="character" w:styleId="929" w:customStyle="1">
    <w:name w:val="纯文本 字符1"/>
    <w:uiPriority w:val="0"/>
    <w:qFormat/>
    <w:rPr>
      <w:rFonts w:ascii="宋体" w:hAnsi="Courier New" w:eastAsia="宋体" w:cs="Times New Roman"/>
      <w:sz w:val="20"/>
      <w:szCs w:val="21"/>
    </w:rPr>
  </w:style>
  <w:style w:type="paragraph" w:styleId="930">
    <w:name w:val="List Paragraph"/>
    <w:basedOn w:val="872"/>
    <w:uiPriority w:val="34"/>
    <w:qFormat/>
    <w:pPr>
      <w:ind w:firstLine="420"/>
    </w:pPr>
    <w:rPr>
      <w:rFonts w:ascii="Calibri" w:hAnsi="Calibri"/>
    </w:rPr>
  </w:style>
  <w:style w:type="paragraph" w:styleId="93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32"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paragraph" w:styleId="933" w:customStyle="1">
    <w:name w:val="UserStyle_0"/>
    <w:basedOn w:val="872"/>
    <w:uiPriority w:val="0"/>
    <w:qFormat/>
    <w:pPr>
      <w:ind w:firstLine="420"/>
      <w:jc w:val="both"/>
    </w:pPr>
    <w:rPr>
      <w:rFonts w:ascii="Calibri" w:hAnsi="Calibri" w:eastAsia="宋体"/>
      <w:sz w:val="21"/>
      <w:szCs w:val="21"/>
      <w:lang w:val="en-US" w:eastAsia="zh-CN" w:bidi="ar-SA"/>
    </w:rPr>
  </w:style>
  <w:style w:type="paragraph" w:styleId="934" w:customStyle="1">
    <w:name w:val="样式 首行缩进:  0 字符"/>
    <w:basedOn w:val="872"/>
    <w:uiPriority w:val="0"/>
    <w:qFormat/>
    <w:pPr>
      <w:ind w:firstLine="200"/>
      <w:spacing w:after="0" w:line="360" w:lineRule="auto"/>
    </w:pPr>
    <w:rPr>
      <w:sz w:val="24"/>
    </w:rPr>
  </w:style>
  <w:style w:type="paragraph" w:styleId="935" w:customStyle="1">
    <w:name w:val="普通(网站)1"/>
    <w:basedOn w:val="872"/>
    <w:uiPriority w:val="0"/>
    <w:qFormat/>
    <w:rPr>
      <w:rFonts w:ascii="Times New Roman" w:hAnsi="Times New Roman"/>
      <w:sz w:val="24"/>
    </w:rPr>
  </w:style>
  <w:style w:type="character" w:styleId="936" w:customStyle="1">
    <w:name w:val="要点1"/>
    <w:uiPriority w:val="0"/>
    <w:qFormat/>
    <w:rPr>
      <w:rFonts w:ascii="Calibri" w:hAnsi="Calibri"/>
      <w:sz w:val="21"/>
      <w:szCs w:val="22"/>
      <w:lang w:val="en-US" w:eastAsia="zh-CN" w:bidi="ar-SA"/>
    </w:rPr>
  </w:style>
  <w:style w:type="character" w:styleId="937" w:customStyle="1">
    <w:name w:val="font01"/>
    <w:basedOn w:val="877"/>
    <w:uiPriority w:val="0"/>
    <w:qFormat/>
    <w:rPr>
      <w:rFonts w:hint="eastAsia" w:ascii="宋体" w:hAnsi="宋体" w:eastAsia="宋体" w:cs="宋体"/>
      <w:color w:val="000000"/>
      <w:sz w:val="22"/>
      <w:szCs w:val="22"/>
      <w:u w:val="none"/>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王美玲</cp:lastModifiedBy>
  <cp:revision>42</cp:revision>
  <dcterms:created xsi:type="dcterms:W3CDTF">2023-02-08T07:47:00Z</dcterms:created>
  <dcterms:modified xsi:type="dcterms:W3CDTF">2026-06-08T08:47:26Z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ADC6FFA1A8764F89ABD7D9F018CAD06D_13</vt:lpwstr>
  </property>
  <property fmtid="{D5CDD505-2E9C-101B-9397-08002B2CF9AE}" pid="4" name="KSOTemplateDocerSaveRecord">
    <vt:lpwstr>eyJoZGlkIjoiNTQ1NTIwYTQ3YjEzOTg0NjM0MDFkZmJlMTFmNDA4NzkiLCJ1c2VySWQiOiIzMDUxODA3NjcifQ==</vt:lpwstr>
  </property>
</Properties>
</file>